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3" w:line="210" w:lineRule="auto"/>
        <w:ind w:left="3072" w:right="366" w:hanging="2689"/>
        <w:jc w:val="center"/>
        <w:outlineLvl w:val="0"/>
        <w:rPr>
          <w:rFonts w:ascii="宋体" w:hAnsi="宋体" w:eastAsia="宋体" w:cs="宋体"/>
          <w:sz w:val="43"/>
          <w:szCs w:val="43"/>
        </w:rPr>
      </w:pPr>
      <w:r>
        <w:rPr>
          <w:rFonts w:hint="eastAsia" w:ascii="宋体" w:hAnsi="宋体" w:eastAsia="宋体" w:cs="宋体"/>
          <w:spacing w:val="6"/>
          <w:sz w:val="43"/>
          <w:szCs w:val="43"/>
          <w:lang w:eastAsia="zh-CN"/>
        </w:rPr>
        <w:t>合肥野生动物园双峰骆驼照相项目</w:t>
      </w:r>
      <w:r>
        <w:rPr>
          <w:rFonts w:hint="eastAsia" w:ascii="宋体" w:hAnsi="宋体" w:eastAsia="宋体" w:cs="宋体"/>
          <w:spacing w:val="3"/>
          <w:sz w:val="43"/>
          <w:szCs w:val="43"/>
          <w:lang w:eastAsia="zh-CN"/>
        </w:rPr>
        <w:t>招商</w:t>
      </w:r>
      <w:r>
        <w:rPr>
          <w:rFonts w:ascii="宋体" w:hAnsi="宋体" w:eastAsia="宋体" w:cs="宋体"/>
          <w:spacing w:val="3"/>
          <w:sz w:val="43"/>
          <w:szCs w:val="43"/>
        </w:rPr>
        <w:t>公告</w:t>
      </w:r>
    </w:p>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54"/>
        <w:gridCol w:w="1656"/>
        <w:gridCol w:w="2145"/>
        <w:gridCol w:w="1566"/>
        <w:gridCol w:w="1568"/>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4"/>
                <w:highlight w:val="none"/>
              </w:rPr>
              <w:t>项目名称</w:t>
            </w:r>
          </w:p>
        </w:tc>
        <w:tc>
          <w:tcPr>
            <w:tcW w:w="8639" w:type="dxa"/>
            <w:gridSpan w:val="6"/>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eastAsia" w:eastAsia="宋体"/>
                <w:highlight w:val="none"/>
                <w:lang w:eastAsia="zh-CN"/>
              </w:rPr>
            </w:pPr>
            <w:r>
              <w:rPr>
                <w:rFonts w:hint="eastAsia"/>
                <w:spacing w:val="-2"/>
                <w:highlight w:val="none"/>
                <w:lang w:eastAsia="zh-CN"/>
              </w:rPr>
              <w:t>合肥野生动物园双峰骆驼照相项目招商公告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4"/>
                <w:highlight w:val="none"/>
              </w:rPr>
              <w:t>项目编号</w:t>
            </w:r>
          </w:p>
        </w:tc>
        <w:tc>
          <w:tcPr>
            <w:tcW w:w="8639" w:type="dxa"/>
            <w:gridSpan w:val="6"/>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DWYSG003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eastAsia" w:eastAsia="宋体"/>
                <w:highlight w:val="none"/>
                <w:lang w:eastAsia="zh-CN"/>
              </w:rPr>
            </w:pPr>
            <w:r>
              <w:rPr>
                <w:rFonts w:hint="eastAsia"/>
                <w:spacing w:val="-3"/>
                <w:highlight w:val="none"/>
                <w:lang w:eastAsia="zh-CN"/>
              </w:rPr>
              <w:t>招商方</w:t>
            </w:r>
          </w:p>
        </w:tc>
        <w:tc>
          <w:tcPr>
            <w:tcW w:w="8639" w:type="dxa"/>
            <w:gridSpan w:val="6"/>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合肥文旅博览集团野生动物园管理有限公司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rFonts w:hint="eastAsia"/>
                <w:spacing w:val="-2"/>
                <w:highlight w:val="none"/>
                <w:lang w:eastAsia="zh-CN"/>
              </w:rPr>
              <w:t>招商方</w:t>
            </w:r>
            <w:r>
              <w:rPr>
                <w:spacing w:val="-2"/>
                <w:highlight w:val="none"/>
              </w:rPr>
              <w:t>承诺</w:t>
            </w:r>
          </w:p>
        </w:tc>
        <w:tc>
          <w:tcPr>
            <w:tcW w:w="8639" w:type="dxa"/>
            <w:gridSpan w:val="6"/>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3"/>
                <w:position w:val="11"/>
                <w:highlight w:val="none"/>
              </w:rPr>
              <w:t>交易监督部</w:t>
            </w:r>
          </w:p>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highlight w:val="none"/>
              </w:rPr>
              <w:t>门</w:t>
            </w:r>
          </w:p>
        </w:tc>
        <w:tc>
          <w:tcPr>
            <w:tcW w:w="8639" w:type="dxa"/>
            <w:gridSpan w:val="6"/>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639" w:type="dxa"/>
            <w:gridSpan w:val="6"/>
            <w:noWrap w:val="0"/>
            <w:vAlign w:val="center"/>
          </w:tcPr>
          <w:p>
            <w:pPr>
              <w:pStyle w:val="14"/>
              <w:keepNext w:val="0"/>
              <w:keepLines w:val="0"/>
              <w:pageBreakBefore w:val="0"/>
              <w:widowControl w:val="0"/>
              <w:numPr>
                <w:ilvl w:val="0"/>
                <w:numId w:val="0"/>
              </w:numPr>
              <w:wordWrap/>
              <w:overflowPunct/>
              <w:topLinePunct w:val="0"/>
              <w:bidi w:val="0"/>
              <w:adjustRightInd w:val="0"/>
              <w:snapToGrid w:val="0"/>
              <w:spacing w:line="240" w:lineRule="auto"/>
              <w:ind w:leftChars="50" w:right="0" w:rightChars="0"/>
              <w:jc w:val="both"/>
              <w:rPr>
                <w:rFonts w:hint="eastAsia" w:cs="宋体"/>
                <w:color w:val="000000"/>
                <w:sz w:val="24"/>
                <w:szCs w:val="24"/>
                <w:highlight w:val="none"/>
                <w:lang w:val="en-US" w:eastAsia="zh-CN"/>
              </w:rPr>
            </w:pPr>
            <w:r>
              <w:rPr>
                <w:rFonts w:hint="eastAsia" w:ascii="宋体" w:hAnsi="宋体" w:eastAsia="宋体" w:cs="宋体"/>
                <w:b/>
                <w:bCs/>
                <w:color w:val="000000"/>
                <w:sz w:val="24"/>
                <w:szCs w:val="24"/>
                <w:highlight w:val="none"/>
              </w:rPr>
              <w:t>1.</w:t>
            </w: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2024年10月22日至2024年10月30日</w:t>
            </w:r>
          </w:p>
          <w:p>
            <w:pPr>
              <w:pStyle w:val="14"/>
              <w:keepNext w:val="0"/>
              <w:keepLines w:val="0"/>
              <w:pageBreakBefore w:val="0"/>
              <w:widowControl w:val="0"/>
              <w:wordWrap/>
              <w:overflowPunct/>
              <w:topLinePunct w:val="0"/>
              <w:bidi w:val="0"/>
              <w:spacing w:line="240" w:lineRule="auto"/>
              <w:ind w:left="105" w:leftChars="50" w:right="0" w:firstLine="0" w:firstLineChars="0"/>
              <w:jc w:val="both"/>
              <w:rPr>
                <w:rFonts w:hint="default" w:ascii="宋体" w:hAnsi="宋体" w:eastAsia="宋体" w:cs="宋体"/>
                <w:color w:val="000000"/>
                <w:sz w:val="24"/>
                <w:szCs w:val="24"/>
                <w:highlight w:val="yellow"/>
                <w:lang w:val="en-US" w:eastAsia="zh-CN"/>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color w:val="000000"/>
                <w:sz w:val="24"/>
                <w:szCs w:val="24"/>
                <w:highlight w:val="none"/>
                <w:lang w:val="en-US" w:eastAsia="zh-CN"/>
              </w:rPr>
              <w:t>2024年10月31日下午15:00</w:t>
            </w:r>
          </w:p>
          <w:p>
            <w:pPr>
              <w:pStyle w:val="14"/>
              <w:keepNext w:val="0"/>
              <w:keepLines w:val="0"/>
              <w:pageBreakBefore w:val="0"/>
              <w:widowControl w:val="0"/>
              <w:wordWrap/>
              <w:overflowPunct/>
              <w:topLinePunct w:val="0"/>
              <w:bidi w:val="0"/>
              <w:spacing w:line="240" w:lineRule="auto"/>
              <w:ind w:left="105" w:leftChars="50" w:right="0" w:firstLine="0" w:firstLineChars="0"/>
              <w:jc w:val="both"/>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677" w:type="dxa"/>
            <w:gridSpan w:val="2"/>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rFonts w:hint="eastAsia"/>
                <w:spacing w:val="-8"/>
                <w:highlight w:val="none"/>
                <w:lang w:eastAsia="zh-CN"/>
              </w:rPr>
              <w:t>招商</w:t>
            </w:r>
            <w:r>
              <w:rPr>
                <w:spacing w:val="-8"/>
                <w:highlight w:val="none"/>
              </w:rPr>
              <w:t>标的</w:t>
            </w:r>
          </w:p>
        </w:tc>
        <w:tc>
          <w:tcPr>
            <w:tcW w:w="1656" w:type="dxa"/>
            <w:noWrap w:val="0"/>
            <w:vAlign w:val="center"/>
          </w:tcPr>
          <w:p>
            <w:pPr>
              <w:pStyle w:val="12"/>
              <w:keepNext w:val="0"/>
              <w:keepLines w:val="0"/>
              <w:pageBreakBefore w:val="0"/>
              <w:widowControl w:val="0"/>
              <w:wordWrap/>
              <w:overflowPunct/>
              <w:topLinePunct w:val="0"/>
              <w:bidi w:val="0"/>
              <w:spacing w:line="240" w:lineRule="auto"/>
              <w:ind w:left="105" w:leftChars="50" w:right="0" w:rightChars="0" w:firstLine="0" w:firstLineChars="0"/>
              <w:jc w:val="center"/>
              <w:rPr>
                <w:highlight w:val="none"/>
              </w:rPr>
            </w:pPr>
            <w:r>
              <w:rPr>
                <w:spacing w:val="-5"/>
                <w:highlight w:val="none"/>
              </w:rPr>
              <w:t>面</w:t>
            </w:r>
            <w:r>
              <w:rPr>
                <w:spacing w:val="-8"/>
                <w:highlight w:val="none"/>
              </w:rPr>
              <w:t>积（㎡）</w:t>
            </w:r>
          </w:p>
        </w:tc>
        <w:tc>
          <w:tcPr>
            <w:tcW w:w="2145" w:type="dxa"/>
            <w:noWrap w:val="0"/>
            <w:vAlign w:val="center"/>
          </w:tcPr>
          <w:p>
            <w:pPr>
              <w:pStyle w:val="12"/>
              <w:keepNext w:val="0"/>
              <w:keepLines w:val="0"/>
              <w:pageBreakBefore w:val="0"/>
              <w:widowControl w:val="0"/>
              <w:wordWrap/>
              <w:overflowPunct/>
              <w:topLinePunct w:val="0"/>
              <w:bidi w:val="0"/>
              <w:spacing w:line="240" w:lineRule="auto"/>
              <w:ind w:left="105" w:leftChars="50" w:right="0" w:rightChars="0" w:firstLine="0" w:firstLineChars="0"/>
              <w:jc w:val="center"/>
              <w:rPr>
                <w:rFonts w:hint="eastAsia"/>
                <w:highlight w:val="none"/>
                <w:lang w:val="en-US" w:eastAsia="zh-CN"/>
              </w:rPr>
            </w:pPr>
            <w:r>
              <w:rPr>
                <w:rFonts w:hint="eastAsia"/>
                <w:highlight w:val="none"/>
                <w:lang w:val="en-US" w:eastAsia="zh-CN"/>
              </w:rPr>
              <w:t>项目评估价</w:t>
            </w:r>
          </w:p>
          <w:p>
            <w:pPr>
              <w:pStyle w:val="12"/>
              <w:keepNext w:val="0"/>
              <w:keepLines w:val="0"/>
              <w:pageBreakBefore w:val="0"/>
              <w:widowControl w:val="0"/>
              <w:wordWrap/>
              <w:overflowPunct/>
              <w:topLinePunct w:val="0"/>
              <w:bidi w:val="0"/>
              <w:spacing w:line="240" w:lineRule="auto"/>
              <w:ind w:left="105" w:leftChars="50" w:right="0" w:rightChars="0" w:firstLine="0" w:firstLineChars="0"/>
              <w:jc w:val="center"/>
              <w:rPr>
                <w:highlight w:val="none"/>
              </w:rPr>
            </w:pPr>
            <w:r>
              <w:rPr>
                <w:spacing w:val="-7"/>
                <w:highlight w:val="none"/>
              </w:rPr>
              <w:t>（万元/年）</w:t>
            </w:r>
          </w:p>
        </w:tc>
        <w:tc>
          <w:tcPr>
            <w:tcW w:w="1566" w:type="dxa"/>
            <w:noWrap w:val="0"/>
            <w:vAlign w:val="center"/>
          </w:tcPr>
          <w:p>
            <w:pPr>
              <w:pStyle w:val="12"/>
              <w:keepNext w:val="0"/>
              <w:keepLines w:val="0"/>
              <w:pageBreakBefore w:val="0"/>
              <w:widowControl w:val="0"/>
              <w:wordWrap/>
              <w:overflowPunct/>
              <w:topLinePunct w:val="0"/>
              <w:bidi w:val="0"/>
              <w:spacing w:line="240" w:lineRule="auto"/>
              <w:ind w:left="105" w:leftChars="50" w:right="0" w:righ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568" w:type="dxa"/>
            <w:noWrap w:val="0"/>
            <w:vAlign w:val="center"/>
          </w:tcPr>
          <w:p>
            <w:pPr>
              <w:pStyle w:val="12"/>
              <w:keepNext w:val="0"/>
              <w:keepLines w:val="0"/>
              <w:pageBreakBefore w:val="0"/>
              <w:widowControl w:val="0"/>
              <w:wordWrap/>
              <w:overflowPunct/>
              <w:topLinePunct w:val="0"/>
              <w:bidi w:val="0"/>
              <w:spacing w:line="240" w:lineRule="auto"/>
              <w:ind w:left="105" w:leftChars="50" w:right="0" w:rightChars="0" w:firstLine="0" w:firstLineChars="0"/>
              <w:jc w:val="center"/>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450"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4"/>
                <w:highlight w:val="none"/>
              </w:rPr>
              <w:t>交易保证</w:t>
            </w:r>
            <w:r>
              <w:rPr>
                <w:spacing w:val="-7"/>
                <w:highlight w:val="none"/>
              </w:rPr>
              <w:t>金（万元）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eastAsia"/>
                <w:highlight w:val="none"/>
                <w:lang w:val="en-US" w:eastAsia="zh-CN"/>
              </w:rPr>
            </w:pPr>
            <w:r>
              <w:rPr>
                <w:rFonts w:hint="eastAsia"/>
                <w:highlight w:val="none"/>
                <w:lang w:val="en-US" w:eastAsia="zh-CN"/>
              </w:rPr>
              <w:t>救护中心附近</w:t>
            </w:r>
          </w:p>
        </w:tc>
        <w:tc>
          <w:tcPr>
            <w:tcW w:w="1656"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67.91</w:t>
            </w:r>
          </w:p>
        </w:tc>
        <w:tc>
          <w:tcPr>
            <w:tcW w:w="2145"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default"/>
                <w:highlight w:val="none"/>
                <w:lang w:val="en-US" w:eastAsia="zh-CN"/>
              </w:rPr>
            </w:pPr>
            <w:r>
              <w:rPr>
                <w:rFonts w:hint="eastAsia"/>
                <w:highlight w:val="none"/>
                <w:lang w:val="en-US" w:eastAsia="zh-CN"/>
              </w:rPr>
              <w:t>3.1</w:t>
            </w:r>
          </w:p>
        </w:tc>
        <w:tc>
          <w:tcPr>
            <w:tcW w:w="1566"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eastAsia" w:cs="宋体"/>
                <w:snapToGrid w:val="0"/>
                <w:color w:val="000000"/>
                <w:kern w:val="0"/>
                <w:sz w:val="24"/>
                <w:szCs w:val="24"/>
                <w:highlight w:val="none"/>
                <w:lang w:val="en-US" w:eastAsia="zh-CN" w:bidi="ar-SA"/>
              </w:rPr>
            </w:pPr>
          </w:p>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default"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≥30%</w:t>
            </w:r>
          </w:p>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p>
        </w:tc>
        <w:tc>
          <w:tcPr>
            <w:tcW w:w="1568"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2</w:t>
            </w:r>
          </w:p>
        </w:tc>
        <w:tc>
          <w:tcPr>
            <w:tcW w:w="1450"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0062" w:type="dxa"/>
            <w:gridSpan w:val="7"/>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600号合肥野生动物园内救护中心附近。</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highlight w:val="none"/>
              </w:rPr>
            </w:pPr>
            <w:r>
              <w:rPr>
                <w:spacing w:val="-2"/>
                <w:highlight w:val="none"/>
              </w:rPr>
              <w:t>2.标的权属情况：</w:t>
            </w:r>
            <w:r>
              <w:rPr>
                <w:spacing w:val="-3"/>
                <w:highlight w:val="none"/>
              </w:rPr>
              <w:t>标的面积为</w:t>
            </w:r>
            <w:r>
              <w:rPr>
                <w:rFonts w:hint="eastAsia"/>
                <w:spacing w:val="-3"/>
                <w:highlight w:val="none"/>
                <w:lang w:eastAsia="zh-CN"/>
              </w:rPr>
              <w:t>招商方委托第三方测绘公司测算面积</w:t>
            </w:r>
            <w:r>
              <w:rPr>
                <w:spacing w:val="-3"/>
                <w:highlight w:val="none"/>
              </w:rPr>
              <w:t>，仅供参考。</w:t>
            </w:r>
            <w:r>
              <w:rPr>
                <w:rFonts w:hint="eastAsia"/>
                <w:spacing w:val="-3"/>
                <w:highlight w:val="none"/>
                <w:lang w:eastAsia="zh-CN"/>
              </w:rPr>
              <w:t>招商</w:t>
            </w:r>
            <w:r>
              <w:rPr>
                <w:spacing w:val="-3"/>
                <w:highlight w:val="none"/>
              </w:rPr>
              <w:t>标的无权属纠纷</w:t>
            </w:r>
            <w:r>
              <w:rPr>
                <w:spacing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39" w:type="dxa"/>
            <w:gridSpan w:val="6"/>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default"/>
                <w:highlight w:val="none"/>
                <w:lang w:val="en-US"/>
              </w:rPr>
            </w:pPr>
            <w:r>
              <w:rPr>
                <w:spacing w:val="-3"/>
                <w:highlight w:val="none"/>
              </w:rPr>
              <w:t>1.</w:t>
            </w:r>
            <w:r>
              <w:rPr>
                <w:rFonts w:hint="eastAsia"/>
                <w:spacing w:val="-3"/>
                <w:highlight w:val="none"/>
                <w:lang w:eastAsia="zh-CN"/>
              </w:rPr>
              <w:t>招商场地</w:t>
            </w:r>
            <w:r>
              <w:rPr>
                <w:spacing w:val="-3"/>
                <w:highlight w:val="none"/>
              </w:rPr>
              <w:t>的用途为</w:t>
            </w:r>
            <w:r>
              <w:rPr>
                <w:rFonts w:hint="eastAsia"/>
                <w:spacing w:val="-3"/>
                <w:highlight w:val="none"/>
                <w:lang w:eastAsia="zh-CN"/>
              </w:rPr>
              <w:t>双峰骆驼照相</w:t>
            </w:r>
            <w:r>
              <w:rPr>
                <w:rFonts w:hint="eastAsia"/>
                <w:spacing w:val="-3"/>
                <w:highlight w:val="none"/>
                <w:lang w:val="en-US" w:eastAsia="zh-CN"/>
              </w:rPr>
              <w:t>和行为展示项目经营，其中行为展示要求周末和节假日期间每天上午和下午在项目周边区域各开展一场，每场不少于20分钟。</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spacing w:val="-1"/>
                <w:highlight w:val="none"/>
              </w:rPr>
            </w:pPr>
            <w:r>
              <w:rPr>
                <w:highlight w:val="none"/>
              </w:rPr>
              <w:t>2.</w:t>
            </w:r>
            <w:r>
              <w:rPr>
                <w:rFonts w:hint="eastAsia"/>
                <w:highlight w:val="none"/>
                <w:lang w:eastAsia="zh-CN"/>
              </w:rPr>
              <w:t>合作方</w:t>
            </w:r>
            <w:r>
              <w:rPr>
                <w:highlight w:val="none"/>
              </w:rPr>
              <w:t>使用上述</w:t>
            </w:r>
            <w:r>
              <w:rPr>
                <w:rFonts w:hint="eastAsia"/>
                <w:highlight w:val="none"/>
                <w:lang w:eastAsia="zh-CN"/>
              </w:rPr>
              <w:t>场地</w:t>
            </w:r>
            <w:r>
              <w:rPr>
                <w:highlight w:val="none"/>
              </w:rPr>
              <w:t>必须符合相关法律法规</w:t>
            </w:r>
            <w:r>
              <w:rPr>
                <w:spacing w:val="-1"/>
                <w:highlight w:val="none"/>
              </w:rPr>
              <w:t>要求，上述</w:t>
            </w:r>
            <w:r>
              <w:rPr>
                <w:rFonts w:hint="eastAsia"/>
                <w:spacing w:val="-1"/>
                <w:highlight w:val="none"/>
                <w:lang w:eastAsia="zh-CN"/>
              </w:rPr>
              <w:t>场地</w:t>
            </w:r>
            <w:r>
              <w:rPr>
                <w:spacing w:val="-1"/>
                <w:highlight w:val="none"/>
              </w:rPr>
              <w:t>内均不得从事</w:t>
            </w:r>
            <w:r>
              <w:rPr>
                <w:rFonts w:hint="eastAsia"/>
                <w:spacing w:val="-1"/>
                <w:highlight w:val="none"/>
                <w:lang w:eastAsia="zh-CN"/>
              </w:rPr>
              <w:t>除双峰骆驼照相项目</w:t>
            </w:r>
            <w:r>
              <w:rPr>
                <w:rFonts w:hint="eastAsia"/>
                <w:spacing w:val="-1"/>
                <w:highlight w:val="none"/>
                <w:lang w:val="en-US" w:eastAsia="zh-CN"/>
              </w:rPr>
              <w:t>和行为展示</w:t>
            </w:r>
            <w:r>
              <w:rPr>
                <w:rFonts w:hint="eastAsia"/>
                <w:spacing w:val="-1"/>
                <w:highlight w:val="none"/>
                <w:lang w:eastAsia="zh-CN"/>
              </w:rPr>
              <w:t>之外的其他经营行为</w:t>
            </w:r>
            <w:r>
              <w:rPr>
                <w:spacing w:val="-3"/>
                <w:highlight w:val="none"/>
              </w:rPr>
              <w:t>，</w:t>
            </w:r>
            <w:r>
              <w:rPr>
                <w:rFonts w:hint="eastAsia"/>
                <w:spacing w:val="-3"/>
                <w:highlight w:val="none"/>
                <w:lang w:eastAsia="zh-CN"/>
              </w:rPr>
              <w:t>场地</w:t>
            </w:r>
            <w:r>
              <w:rPr>
                <w:spacing w:val="-3"/>
                <w:highlight w:val="none"/>
              </w:rPr>
              <w:t>不得使用</w:t>
            </w:r>
            <w:r>
              <w:rPr>
                <w:spacing w:val="-2"/>
                <w:highlight w:val="none"/>
              </w:rPr>
              <w:t>明火、不得经营或存放化工类产品及易燃易爆</w:t>
            </w:r>
            <w:r>
              <w:rPr>
                <w:spacing w:val="-3"/>
                <w:highlight w:val="none"/>
              </w:rPr>
              <w:t>有毒物品。如由此造成</w:t>
            </w:r>
            <w:r>
              <w:rPr>
                <w:rFonts w:hint="eastAsia"/>
                <w:spacing w:val="-3"/>
                <w:highlight w:val="none"/>
                <w:lang w:eastAsia="zh-CN"/>
              </w:rPr>
              <w:t>合作方</w:t>
            </w:r>
            <w:r>
              <w:rPr>
                <w:spacing w:val="-3"/>
                <w:highlight w:val="none"/>
              </w:rPr>
              <w:t>不能</w:t>
            </w:r>
            <w:r>
              <w:rPr>
                <w:highlight w:val="none"/>
              </w:rPr>
              <w:t>按预想的方案使用</w:t>
            </w:r>
            <w:r>
              <w:rPr>
                <w:rFonts w:hint="eastAsia"/>
                <w:highlight w:val="none"/>
                <w:lang w:eastAsia="zh-CN"/>
              </w:rPr>
              <w:t>场地</w:t>
            </w:r>
            <w:r>
              <w:rPr>
                <w:highlight w:val="none"/>
              </w:rPr>
              <w:t>并导致合同不能</w:t>
            </w:r>
            <w:r>
              <w:rPr>
                <w:spacing w:val="-1"/>
                <w:highlight w:val="none"/>
              </w:rPr>
              <w:t>履约的，责任由</w:t>
            </w:r>
            <w:r>
              <w:rPr>
                <w:rFonts w:hint="eastAsia"/>
                <w:spacing w:val="-1"/>
                <w:highlight w:val="none"/>
                <w:lang w:eastAsia="zh-CN"/>
              </w:rPr>
              <w:t>合作方</w:t>
            </w:r>
            <w:r>
              <w:rPr>
                <w:spacing w:val="-1"/>
                <w:highlight w:val="none"/>
              </w:rPr>
              <w:t>承担。</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4.合作期间场地如遇政府部门要求拆迁（如生态红线内违规建设等原因）、招商方园区改造提升拆迁的，招商方有权解除合同，并不承担任何违约责任。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23" w:type="dxa"/>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rFonts w:hint="eastAsia"/>
                <w:spacing w:val="-3"/>
                <w:position w:val="11"/>
                <w:highlight w:val="none"/>
                <w:lang w:eastAsia="zh-CN"/>
              </w:rPr>
              <w:t>合作经营分成款</w:t>
            </w:r>
            <w:r>
              <w:rPr>
                <w:spacing w:val="-3"/>
                <w:position w:val="11"/>
                <w:highlight w:val="none"/>
              </w:rPr>
              <w:t>及履约</w:t>
            </w:r>
          </w:p>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3"/>
                <w:highlight w:val="none"/>
              </w:rPr>
              <w:t>保证金支付</w:t>
            </w:r>
          </w:p>
        </w:tc>
        <w:tc>
          <w:tcPr>
            <w:tcW w:w="8639" w:type="dxa"/>
            <w:gridSpan w:val="6"/>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eastAsia"/>
                <w:spacing w:val="-3"/>
                <w:position w:val="11"/>
                <w:highlight w:val="none"/>
                <w:lang w:eastAsia="zh-CN"/>
              </w:rPr>
            </w:pPr>
            <w:r>
              <w:rPr>
                <w:spacing w:val="-3"/>
                <w:position w:val="11"/>
                <w:highlight w:val="none"/>
              </w:rPr>
              <w:t>1.</w:t>
            </w:r>
            <w:r>
              <w:rPr>
                <w:rFonts w:hint="eastAsia"/>
                <w:spacing w:val="-3"/>
                <w:position w:val="11"/>
                <w:highlight w:val="none"/>
                <w:lang w:eastAsia="zh-CN"/>
              </w:rPr>
              <w:t>合作方</w:t>
            </w:r>
            <w:r>
              <w:rPr>
                <w:rFonts w:hint="eastAsia"/>
                <w:spacing w:val="-3"/>
                <w:position w:val="11"/>
                <w:highlight w:val="none"/>
                <w:lang w:val="en-US" w:eastAsia="zh-CN"/>
              </w:rPr>
              <w:t>所有营收款先进招商方账户，</w:t>
            </w:r>
            <w:r>
              <w:rPr>
                <w:rFonts w:hint="eastAsia"/>
                <w:spacing w:val="-3"/>
                <w:position w:val="11"/>
                <w:highlight w:val="none"/>
                <w:lang w:eastAsia="zh-CN"/>
              </w:rPr>
              <w:t>合作采用</w:t>
            </w:r>
            <w:r>
              <w:rPr>
                <w:rFonts w:hint="eastAsia"/>
                <w:spacing w:val="-3"/>
                <w:position w:val="11"/>
                <w:highlight w:val="none"/>
                <w:lang w:val="en-US" w:eastAsia="zh-CN"/>
              </w:rPr>
              <w:t>保底报价</w:t>
            </w:r>
            <w:r>
              <w:rPr>
                <w:rFonts w:hint="eastAsia"/>
                <w:spacing w:val="-3"/>
                <w:position w:val="11"/>
                <w:highlight w:val="none"/>
                <w:lang w:eastAsia="zh-CN"/>
              </w:rPr>
              <w:t>＋分成的模式，分成款按季度结算，招商方年分成总和大于保底报价时，招商方按照分成总和收取合作经营款，全年分成总和小于等于保底报价时，招商方按照保底报价收取合作经营款。</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highlight w:val="none"/>
              </w:rPr>
            </w:pPr>
            <w:r>
              <w:rPr>
                <w:spacing w:val="-1"/>
                <w:highlight w:val="none"/>
              </w:rPr>
              <w:t>2.</w:t>
            </w:r>
            <w:r>
              <w:rPr>
                <w:rFonts w:hint="eastAsia"/>
                <w:spacing w:val="-1"/>
                <w:highlight w:val="none"/>
                <w:lang w:eastAsia="zh-CN"/>
              </w:rPr>
              <w:t>合作方</w:t>
            </w:r>
            <w:r>
              <w:rPr>
                <w:spacing w:val="-1"/>
                <w:highlight w:val="none"/>
              </w:rPr>
              <w:t>应在《</w:t>
            </w:r>
            <w:r>
              <w:rPr>
                <w:rFonts w:hint="eastAsia"/>
                <w:spacing w:val="-1"/>
                <w:highlight w:val="none"/>
                <w:lang w:eastAsia="zh-CN"/>
              </w:rPr>
              <w:t>招商结果通知</w:t>
            </w:r>
            <w:r>
              <w:rPr>
                <w:spacing w:val="-1"/>
                <w:highlight w:val="none"/>
              </w:rPr>
              <w:t>书》出具之日</w:t>
            </w:r>
            <w:r>
              <w:rPr>
                <w:rFonts w:hint="eastAsia"/>
                <w:spacing w:val="-4"/>
                <w:highlight w:val="none"/>
                <w:lang w:eastAsia="zh-CN"/>
              </w:rPr>
              <w:t>至</w:t>
            </w:r>
            <w:r>
              <w:rPr>
                <w:spacing w:val="-4"/>
                <w:highlight w:val="none"/>
              </w:rPr>
              <w:t>合同签订前向</w:t>
            </w:r>
            <w:r>
              <w:rPr>
                <w:rFonts w:hint="eastAsia"/>
                <w:spacing w:val="-4"/>
                <w:highlight w:val="none"/>
                <w:lang w:eastAsia="zh-CN"/>
              </w:rPr>
              <w:t>招商方</w:t>
            </w:r>
            <w:r>
              <w:rPr>
                <w:spacing w:val="-4"/>
                <w:highlight w:val="none"/>
              </w:rPr>
              <w:t>提交履约保证金。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2"/>
                <w:highlight w:val="none"/>
              </w:rPr>
              <w:t>二、对</w:t>
            </w:r>
            <w:r>
              <w:rPr>
                <w:rFonts w:hint="eastAsia"/>
                <w:spacing w:val="-2"/>
                <w:highlight w:val="none"/>
                <w:lang w:val="en-US" w:eastAsia="zh-CN"/>
              </w:rPr>
              <w:t>合作方</w:t>
            </w:r>
            <w:r>
              <w:rPr>
                <w:spacing w:val="-2"/>
                <w:highlight w:val="none"/>
              </w:rPr>
              <w:t>资格的要求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keepNext w:val="0"/>
              <w:keepLines w:val="0"/>
              <w:pageBreakBefore w:val="0"/>
              <w:widowControl w:val="0"/>
              <w:wordWrap/>
              <w:overflowPunct/>
              <w:topLinePunct w:val="0"/>
              <w:bidi w:val="0"/>
              <w:spacing w:line="240" w:lineRule="auto"/>
              <w:ind w:left="105" w:leftChars="50" w:right="0" w:firstLine="0" w:firstLineChars="0"/>
              <w:jc w:val="both"/>
              <w:rPr>
                <w:spacing w:val="-2"/>
                <w:highlight w:val="none"/>
              </w:rPr>
            </w:pPr>
            <w:r>
              <w:rPr>
                <w:rFonts w:hint="eastAsia" w:ascii="宋体" w:hAnsi="宋体" w:eastAsia="宋体" w:cs="宋体"/>
                <w:snapToGrid w:val="0"/>
                <w:color w:val="000000"/>
                <w:kern w:val="0"/>
                <w:sz w:val="24"/>
                <w:szCs w:val="24"/>
                <w:highlight w:val="none"/>
                <w:lang w:val="en-US" w:eastAsia="zh-CN" w:bidi="zh-CN"/>
              </w:rPr>
              <w:t>合作方营业执照中经营范围包含“摄影扩印服务”和“动物园管理服务”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highlight w:val="none"/>
              </w:rPr>
            </w:pPr>
            <w:r>
              <w:rPr>
                <w:spacing w:val="-2"/>
                <w:highlight w:val="none"/>
              </w:rPr>
              <w:t>三、</w:t>
            </w:r>
            <w:r>
              <w:rPr>
                <w:rFonts w:hint="eastAsia"/>
                <w:spacing w:val="-2"/>
                <w:highlight w:val="none"/>
                <w:lang w:eastAsia="zh-CN"/>
              </w:rPr>
              <w:t>招商</w:t>
            </w:r>
            <w:r>
              <w:rPr>
                <w:spacing w:val="-2"/>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keepNext w:val="0"/>
              <w:keepLines w:val="0"/>
              <w:pageBreakBefore w:val="0"/>
              <w:widowControl w:val="0"/>
              <w:wordWrap/>
              <w:overflowPunct/>
              <w:topLinePunct w:val="0"/>
              <w:bidi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1.合作方未被合肥市及其所辖县（市）、区（开发区）公共资源交易监督管理部门记不良行为记录的；或被记不良行为记录（以公布日期为准），但同时符合下列情形的：</w:t>
            </w:r>
          </w:p>
          <w:p>
            <w:pPr>
              <w:keepNext w:val="0"/>
              <w:keepLines w:val="0"/>
              <w:pageBreakBefore w:val="0"/>
              <w:widowControl w:val="0"/>
              <w:wordWrap/>
              <w:overflowPunct/>
              <w:topLinePunct w:val="0"/>
              <w:bidi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（1）开标日前（含当日）6个月内记分累计未满10分的；</w:t>
            </w:r>
          </w:p>
          <w:p>
            <w:pPr>
              <w:keepNext w:val="0"/>
              <w:keepLines w:val="0"/>
              <w:pageBreakBefore w:val="0"/>
              <w:widowControl w:val="0"/>
              <w:wordWrap/>
              <w:overflowPunct/>
              <w:topLinePunct w:val="0"/>
              <w:bidi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（2）开标日前（含当日）12个月内记分累计未满15分的；</w:t>
            </w:r>
          </w:p>
          <w:p>
            <w:pPr>
              <w:keepNext w:val="0"/>
              <w:keepLines w:val="0"/>
              <w:pageBreakBefore w:val="0"/>
              <w:widowControl w:val="0"/>
              <w:wordWrap/>
              <w:overflowPunct/>
              <w:topLinePunct w:val="0"/>
              <w:bidi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（3）开标日前（含当日）18个月内记分累计未满20分的；</w:t>
            </w:r>
          </w:p>
          <w:p>
            <w:pPr>
              <w:keepNext w:val="0"/>
              <w:keepLines w:val="0"/>
              <w:pageBreakBefore w:val="0"/>
              <w:widowControl w:val="0"/>
              <w:wordWrap/>
              <w:overflowPunct/>
              <w:topLinePunct w:val="0"/>
              <w:bidi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（4）开标日前（含当日）24个月内记分累计未满25分的。</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2"/>
              <w:keepNext w:val="0"/>
              <w:keepLines w:val="0"/>
              <w:pageBreakBefore w:val="0"/>
              <w:widowControl w:val="0"/>
              <w:wordWrap/>
              <w:overflowPunct/>
              <w:topLinePunct w:val="0"/>
              <w:bidi w:val="0"/>
              <w:spacing w:line="240" w:lineRule="auto"/>
              <w:ind w:left="105" w:leftChars="50" w:right="0" w:firstLine="0" w:firstLineChars="0"/>
              <w:jc w:val="center"/>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5" w:hRule="atLeast"/>
        </w:trPr>
        <w:tc>
          <w:tcPr>
            <w:tcW w:w="10062" w:type="dxa"/>
            <w:gridSpan w:val="7"/>
            <w:noWrap w:val="0"/>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5" w:leftChars="50" w:right="0" w:firstLine="0" w:firstLineChars="0"/>
              <w:jc w:val="both"/>
              <w:textAlignment w:val="auto"/>
              <w:rPr>
                <w:rFonts w:hint="eastAsia" w:cs="宋体"/>
                <w:spacing w:val="-1"/>
                <w:sz w:val="21"/>
                <w:szCs w:val="21"/>
                <w:highlight w:val="none"/>
                <w:lang w:val="en-US" w:eastAsia="zh-CN"/>
              </w:rPr>
            </w:pPr>
            <w:r>
              <w:rPr>
                <w:rFonts w:hint="eastAsia" w:cs="宋体"/>
                <w:spacing w:val="-1"/>
                <w:sz w:val="24"/>
                <w:szCs w:val="24"/>
                <w:highlight w:val="none"/>
                <w:lang w:eastAsia="zh-CN"/>
              </w:rPr>
              <w:t>合作方应在本公告期截止前现场踏勘招商标的，就招商标的相关情况主动向招商方咨询，自行了解使用该场地可能涉及的相关法律法规及市政规定；完成登记的合作方都视同已实地踏勘招商标的，确认了标的位置、范围、面积和现状等并认可招商要求，自愿承担因上述原因导致的一切后果和法律责任。</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5" w:leftChars="50" w:right="0" w:firstLine="0" w:firstLineChars="0"/>
              <w:jc w:val="both"/>
              <w:textAlignment w:val="auto"/>
              <w:rPr>
                <w:rFonts w:hint="eastAsia" w:cs="宋体"/>
                <w:spacing w:val="-1"/>
                <w:sz w:val="24"/>
                <w:szCs w:val="24"/>
                <w:highlight w:val="none"/>
                <w:lang w:eastAsia="zh-CN"/>
              </w:rPr>
            </w:pPr>
            <w:r>
              <w:rPr>
                <w:rFonts w:hint="eastAsia" w:cs="宋体"/>
                <w:spacing w:val="-1"/>
                <w:sz w:val="21"/>
                <w:szCs w:val="21"/>
                <w:highlight w:val="none"/>
                <w:lang w:eastAsia="zh-CN"/>
              </w:rPr>
              <w:t>公告所列示的标的面积仅作参考，不作</w:t>
            </w:r>
            <w:r>
              <w:rPr>
                <w:rFonts w:hint="eastAsia" w:cs="宋体"/>
                <w:spacing w:val="-1"/>
                <w:sz w:val="24"/>
                <w:szCs w:val="24"/>
                <w:highlight w:val="none"/>
                <w:lang w:eastAsia="zh-CN"/>
              </w:rPr>
              <w:t>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pPr>
              <w:pStyle w:val="12"/>
              <w:keepNext w:val="0"/>
              <w:keepLines w:val="0"/>
              <w:pageBreakBefore w:val="0"/>
              <w:widowControl w:val="0"/>
              <w:numPr>
                <w:ilvl w:val="0"/>
                <w:numId w:val="1"/>
              </w:numPr>
              <w:wordWrap/>
              <w:overflowPunct/>
              <w:topLinePunct w:val="0"/>
              <w:bidi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合作方在合同履约期限内，不得转租。招商场地必须由合作方自主经营，未经招商方书面同意，不得以任何形式转租、分租、出借租赁房屋及与他人合作经营，</w:t>
            </w:r>
            <w:r>
              <w:rPr>
                <w:rFonts w:hint="eastAsia" w:cs="宋体"/>
                <w:spacing w:val="-1"/>
                <w:sz w:val="24"/>
                <w:szCs w:val="24"/>
                <w:highlight w:val="none"/>
                <w:lang w:val="en-US" w:eastAsia="zh-CN"/>
              </w:rPr>
              <w:t>如有发生则招商方有权终止合作。</w:t>
            </w:r>
          </w:p>
          <w:p>
            <w:pPr>
              <w:pStyle w:val="12"/>
              <w:keepNext w:val="0"/>
              <w:keepLines w:val="0"/>
              <w:pageBreakBefore w:val="0"/>
              <w:widowControl w:val="0"/>
              <w:numPr>
                <w:ilvl w:val="0"/>
                <w:numId w:val="1"/>
              </w:numPr>
              <w:wordWrap/>
              <w:overflowPunct/>
              <w:topLinePunct w:val="0"/>
              <w:bidi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合同期内，合作方提供不少于</w:t>
            </w:r>
            <w:r>
              <w:rPr>
                <w:rFonts w:hint="eastAsia" w:cs="宋体"/>
                <w:spacing w:val="-1"/>
                <w:sz w:val="24"/>
                <w:szCs w:val="24"/>
                <w:highlight w:val="none"/>
                <w:lang w:val="en-US" w:eastAsia="zh-CN"/>
              </w:rPr>
              <w:t>2头双峰骆驼供游客参观拍照并</w:t>
            </w:r>
            <w:r>
              <w:rPr>
                <w:rFonts w:hint="eastAsia" w:cs="宋体"/>
                <w:spacing w:val="-1"/>
                <w:sz w:val="24"/>
                <w:szCs w:val="24"/>
                <w:highlight w:val="none"/>
                <w:lang w:eastAsia="zh-CN"/>
              </w:rPr>
              <w:t>负责场地的日常安全管理工作并自行承担骆驼饲养及场地发生的水、电、通讯（网络）、物业管理（</w:t>
            </w:r>
            <w:r>
              <w:rPr>
                <w:rFonts w:hint="eastAsia" w:cs="宋体"/>
                <w:spacing w:val="-1"/>
                <w:sz w:val="24"/>
                <w:szCs w:val="24"/>
                <w:highlight w:val="none"/>
                <w:lang w:val="en-US" w:eastAsia="zh-CN"/>
              </w:rPr>
              <w:t>2000元/年</w:t>
            </w:r>
            <w:r>
              <w:rPr>
                <w:rFonts w:hint="eastAsia" w:cs="宋体"/>
                <w:spacing w:val="-1"/>
                <w:sz w:val="24"/>
                <w:szCs w:val="24"/>
                <w:highlight w:val="none"/>
                <w:lang w:eastAsia="zh-CN"/>
              </w:rPr>
              <w:t>）、停车等相关费用。</w:t>
            </w:r>
          </w:p>
          <w:p>
            <w:pPr>
              <w:pStyle w:val="12"/>
              <w:keepNext w:val="0"/>
              <w:keepLines w:val="0"/>
              <w:pageBreakBefore w:val="0"/>
              <w:widowControl w:val="0"/>
              <w:numPr>
                <w:ilvl w:val="0"/>
                <w:numId w:val="1"/>
              </w:numPr>
              <w:wordWrap/>
              <w:overflowPunct/>
              <w:topLinePunct w:val="0"/>
              <w:bidi w:val="0"/>
              <w:spacing w:line="240" w:lineRule="auto"/>
              <w:ind w:left="105" w:leftChars="50" w:right="0" w:firstLine="0" w:firstLineChars="0"/>
              <w:jc w:val="both"/>
              <w:rPr>
                <w:rFonts w:hint="eastAsia" w:ascii="宋体" w:hAnsi="宋体" w:eastAsia="宋体" w:cs="宋体"/>
                <w:spacing w:val="-1"/>
                <w:sz w:val="24"/>
                <w:szCs w:val="24"/>
                <w:highlight w:val="none"/>
              </w:rPr>
            </w:pPr>
            <w:r>
              <w:rPr>
                <w:rFonts w:hint="eastAsia" w:cs="宋体"/>
                <w:spacing w:val="-1"/>
                <w:sz w:val="24"/>
                <w:szCs w:val="24"/>
                <w:highlight w:val="none"/>
                <w:lang w:eastAsia="zh-CN"/>
              </w:rPr>
              <w:t>合作方</w:t>
            </w:r>
            <w:r>
              <w:rPr>
                <w:rFonts w:hint="eastAsia" w:cs="宋体"/>
                <w:spacing w:val="-1"/>
                <w:sz w:val="24"/>
                <w:szCs w:val="24"/>
                <w:highlight w:val="none"/>
                <w:lang w:val="en-US" w:eastAsia="zh-CN"/>
              </w:rPr>
              <w:t>需结合招商方统一商业规划要求，</w:t>
            </w:r>
            <w:r>
              <w:rPr>
                <w:rFonts w:hint="eastAsia" w:ascii="宋体" w:hAnsi="宋体" w:eastAsia="宋体" w:cs="宋体"/>
                <w:spacing w:val="-1"/>
                <w:sz w:val="24"/>
                <w:szCs w:val="24"/>
                <w:highlight w:val="none"/>
              </w:rPr>
              <w:t>对</w:t>
            </w:r>
            <w:r>
              <w:rPr>
                <w:rFonts w:hint="eastAsia" w:cs="宋体"/>
                <w:spacing w:val="-1"/>
                <w:sz w:val="24"/>
                <w:szCs w:val="24"/>
                <w:highlight w:val="none"/>
                <w:lang w:eastAsia="zh-CN"/>
              </w:rPr>
              <w:t>场地</w:t>
            </w:r>
            <w:r>
              <w:rPr>
                <w:rFonts w:hint="eastAsia" w:cs="宋体"/>
                <w:spacing w:val="-1"/>
                <w:sz w:val="24"/>
                <w:szCs w:val="24"/>
                <w:highlight w:val="none"/>
                <w:lang w:val="en-US" w:eastAsia="zh-CN"/>
              </w:rPr>
              <w:t>自行</w:t>
            </w:r>
            <w:r>
              <w:rPr>
                <w:rFonts w:hint="eastAsia" w:ascii="宋体" w:hAnsi="宋体" w:eastAsia="宋体" w:cs="宋体"/>
                <w:spacing w:val="-1"/>
                <w:sz w:val="24"/>
                <w:szCs w:val="24"/>
                <w:highlight w:val="none"/>
              </w:rPr>
              <w:t>装修、装潢时，装修、装潢</w:t>
            </w:r>
            <w:r>
              <w:rPr>
                <w:rFonts w:hint="eastAsia" w:cs="宋体"/>
                <w:spacing w:val="-1"/>
                <w:sz w:val="24"/>
                <w:szCs w:val="24"/>
                <w:highlight w:val="none"/>
                <w:lang w:eastAsia="zh-CN"/>
              </w:rPr>
              <w:t>，</w:t>
            </w:r>
            <w:r>
              <w:rPr>
                <w:rFonts w:hint="eastAsia" w:ascii="宋体" w:hAnsi="宋体" w:eastAsia="宋体" w:cs="宋体"/>
                <w:spacing w:val="-1"/>
                <w:sz w:val="24"/>
                <w:szCs w:val="24"/>
                <w:highlight w:val="none"/>
              </w:rPr>
              <w:t>方案须经</w:t>
            </w:r>
            <w:r>
              <w:rPr>
                <w:rFonts w:hint="eastAsia" w:cs="宋体"/>
                <w:spacing w:val="-1"/>
                <w:sz w:val="24"/>
                <w:szCs w:val="24"/>
                <w:highlight w:val="none"/>
                <w:lang w:eastAsia="zh-CN"/>
              </w:rPr>
              <w:t>招商方</w:t>
            </w:r>
            <w:r>
              <w:rPr>
                <w:rFonts w:hint="eastAsia" w:ascii="宋体" w:hAnsi="宋体" w:eastAsia="宋体" w:cs="宋体"/>
                <w:spacing w:val="-2"/>
                <w:sz w:val="24"/>
                <w:szCs w:val="24"/>
                <w:highlight w:val="none"/>
              </w:rPr>
              <w:t>同意</w:t>
            </w:r>
            <w:r>
              <w:rPr>
                <w:rFonts w:hint="eastAsia" w:cs="宋体"/>
                <w:spacing w:val="-2"/>
                <w:sz w:val="24"/>
                <w:szCs w:val="24"/>
                <w:highlight w:val="none"/>
                <w:lang w:val="en-US" w:eastAsia="zh-CN"/>
              </w:rPr>
              <w:t>后方可实行</w:t>
            </w:r>
            <w:r>
              <w:rPr>
                <w:rFonts w:hint="eastAsia" w:ascii="宋体" w:hAnsi="宋体" w:eastAsia="宋体" w:cs="宋体"/>
                <w:spacing w:val="-2"/>
                <w:sz w:val="24"/>
                <w:szCs w:val="24"/>
                <w:highlight w:val="none"/>
              </w:rPr>
              <w:t>。</w:t>
            </w:r>
            <w:r>
              <w:rPr>
                <w:rFonts w:hint="eastAsia" w:cs="宋体"/>
                <w:spacing w:val="-3"/>
                <w:sz w:val="24"/>
                <w:szCs w:val="24"/>
                <w:highlight w:val="none"/>
                <w:lang w:eastAsia="zh-CN"/>
              </w:rPr>
              <w:t>场地</w:t>
            </w:r>
            <w:r>
              <w:rPr>
                <w:rFonts w:hint="eastAsia" w:ascii="宋体" w:hAnsi="宋体" w:eastAsia="宋体" w:cs="宋体"/>
                <w:spacing w:val="-3"/>
                <w:sz w:val="24"/>
                <w:szCs w:val="24"/>
                <w:highlight w:val="none"/>
              </w:rPr>
              <w:t>的装修、装潢费用及</w:t>
            </w:r>
            <w:r>
              <w:rPr>
                <w:rFonts w:hint="eastAsia" w:cs="宋体"/>
                <w:spacing w:val="-3"/>
                <w:sz w:val="24"/>
                <w:szCs w:val="24"/>
                <w:highlight w:val="none"/>
                <w:lang w:eastAsia="zh-CN"/>
              </w:rPr>
              <w:t>合同</w:t>
            </w:r>
            <w:r>
              <w:rPr>
                <w:rFonts w:hint="eastAsia" w:ascii="宋体" w:hAnsi="宋体" w:eastAsia="宋体" w:cs="宋体"/>
                <w:spacing w:val="-3"/>
                <w:sz w:val="24"/>
                <w:szCs w:val="24"/>
                <w:highlight w:val="none"/>
              </w:rPr>
              <w:t>期内</w:t>
            </w:r>
            <w:r>
              <w:rPr>
                <w:rFonts w:hint="eastAsia" w:cs="宋体"/>
                <w:spacing w:val="-1"/>
                <w:sz w:val="24"/>
                <w:szCs w:val="24"/>
                <w:highlight w:val="none"/>
                <w:lang w:eastAsia="zh-CN"/>
              </w:rPr>
              <w:t>场地</w:t>
            </w:r>
            <w:r>
              <w:rPr>
                <w:rFonts w:hint="eastAsia" w:ascii="宋体" w:hAnsi="宋体" w:eastAsia="宋体" w:cs="宋体"/>
                <w:spacing w:val="-1"/>
                <w:sz w:val="24"/>
                <w:szCs w:val="24"/>
                <w:highlight w:val="none"/>
              </w:rPr>
              <w:t>的维修费用全部由</w:t>
            </w:r>
            <w:r>
              <w:rPr>
                <w:rFonts w:hint="eastAsia" w:cs="宋体"/>
                <w:spacing w:val="-1"/>
                <w:sz w:val="24"/>
                <w:szCs w:val="24"/>
                <w:highlight w:val="none"/>
                <w:lang w:eastAsia="zh-CN"/>
              </w:rPr>
              <w:t>合作方</w:t>
            </w:r>
            <w:r>
              <w:rPr>
                <w:rFonts w:hint="eastAsia" w:ascii="宋体" w:hAnsi="宋体" w:eastAsia="宋体" w:cs="宋体"/>
                <w:spacing w:val="-1"/>
                <w:sz w:val="24"/>
                <w:szCs w:val="24"/>
                <w:highlight w:val="none"/>
              </w:rPr>
              <w:t>自行承担。</w:t>
            </w:r>
          </w:p>
          <w:p>
            <w:pPr>
              <w:pStyle w:val="12"/>
              <w:keepNext w:val="0"/>
              <w:keepLines w:val="0"/>
              <w:pageBreakBefore w:val="0"/>
              <w:widowControl w:val="0"/>
              <w:numPr>
                <w:ilvl w:val="0"/>
                <w:numId w:val="1"/>
              </w:numPr>
              <w:wordWrap/>
              <w:overflowPunct/>
              <w:topLinePunct w:val="0"/>
              <w:bidi w:val="0"/>
              <w:spacing w:line="240" w:lineRule="auto"/>
              <w:ind w:left="105" w:leftChars="50" w:right="0" w:firstLine="0" w:firstLineChars="0"/>
              <w:jc w:val="both"/>
              <w:rPr>
                <w:rFonts w:hint="eastAsia" w:ascii="宋体" w:hAnsi="宋体" w:eastAsia="宋体" w:cs="宋体"/>
                <w:spacing w:val="-4"/>
                <w:sz w:val="24"/>
                <w:szCs w:val="24"/>
                <w:highlight w:val="none"/>
              </w:rPr>
            </w:pPr>
            <w:r>
              <w:rPr>
                <w:rFonts w:hint="eastAsia" w:cs="宋体"/>
                <w:spacing w:val="-1"/>
                <w:sz w:val="24"/>
                <w:szCs w:val="24"/>
                <w:highlight w:val="none"/>
                <w:lang w:eastAsia="zh-CN"/>
              </w:rPr>
              <w:t>合同</w:t>
            </w:r>
            <w:r>
              <w:rPr>
                <w:rFonts w:hint="eastAsia" w:ascii="宋体" w:hAnsi="宋体" w:eastAsia="宋体" w:cs="宋体"/>
                <w:spacing w:val="-1"/>
                <w:sz w:val="24"/>
                <w:szCs w:val="24"/>
                <w:highlight w:val="none"/>
              </w:rPr>
              <w:t>期内，</w:t>
            </w:r>
            <w:r>
              <w:rPr>
                <w:rFonts w:hint="eastAsia" w:cs="宋体"/>
                <w:spacing w:val="-1"/>
                <w:sz w:val="24"/>
                <w:szCs w:val="24"/>
                <w:highlight w:val="none"/>
                <w:lang w:eastAsia="zh-CN"/>
              </w:rPr>
              <w:t>合作方</w:t>
            </w:r>
            <w:r>
              <w:rPr>
                <w:rFonts w:hint="eastAsia" w:ascii="宋体" w:hAnsi="宋体" w:eastAsia="宋体" w:cs="宋体"/>
                <w:spacing w:val="-1"/>
                <w:sz w:val="24"/>
                <w:szCs w:val="24"/>
                <w:highlight w:val="none"/>
              </w:rPr>
              <w:t>不得以任何理由要求减免</w:t>
            </w:r>
            <w:r>
              <w:rPr>
                <w:rFonts w:hint="eastAsia" w:cs="宋体"/>
                <w:spacing w:val="-1"/>
                <w:sz w:val="24"/>
                <w:szCs w:val="24"/>
                <w:highlight w:val="none"/>
                <w:lang w:eastAsia="zh-CN"/>
              </w:rPr>
              <w:t>底价及分成款</w:t>
            </w:r>
            <w:r>
              <w:rPr>
                <w:rFonts w:hint="eastAsia" w:ascii="宋体" w:hAnsi="宋体" w:eastAsia="宋体" w:cs="宋体"/>
                <w:spacing w:val="-1"/>
                <w:sz w:val="24"/>
                <w:szCs w:val="24"/>
                <w:highlight w:val="none"/>
              </w:rPr>
              <w:t>。如因法律法规及市政规定需要拆除</w:t>
            </w:r>
            <w:r>
              <w:rPr>
                <w:rFonts w:hint="eastAsia" w:cs="宋体"/>
                <w:spacing w:val="-2"/>
                <w:sz w:val="24"/>
                <w:szCs w:val="24"/>
                <w:highlight w:val="none"/>
                <w:lang w:eastAsia="zh-CN"/>
              </w:rPr>
              <w:t>场地设施</w:t>
            </w:r>
            <w:r>
              <w:rPr>
                <w:rFonts w:hint="eastAsia" w:ascii="宋体" w:hAnsi="宋体" w:eastAsia="宋体" w:cs="宋体"/>
                <w:spacing w:val="-3"/>
                <w:sz w:val="24"/>
                <w:szCs w:val="24"/>
                <w:highlight w:val="none"/>
              </w:rPr>
              <w:t>而导致合同解除的，</w:t>
            </w:r>
            <w:r>
              <w:rPr>
                <w:rFonts w:hint="eastAsia" w:cs="宋体"/>
                <w:spacing w:val="-3"/>
                <w:sz w:val="24"/>
                <w:szCs w:val="24"/>
                <w:highlight w:val="none"/>
                <w:lang w:eastAsia="zh-CN"/>
              </w:rPr>
              <w:t>底价及分成款</w:t>
            </w:r>
            <w:r>
              <w:rPr>
                <w:rFonts w:hint="eastAsia" w:ascii="宋体" w:hAnsi="宋体" w:eastAsia="宋体" w:cs="宋体"/>
                <w:spacing w:val="-3"/>
                <w:sz w:val="24"/>
                <w:szCs w:val="24"/>
                <w:highlight w:val="none"/>
              </w:rPr>
              <w:t>按照实际</w:t>
            </w:r>
            <w:r>
              <w:rPr>
                <w:rFonts w:hint="eastAsia" w:cs="宋体"/>
                <w:spacing w:val="-3"/>
                <w:sz w:val="24"/>
                <w:szCs w:val="24"/>
                <w:highlight w:val="none"/>
                <w:lang w:eastAsia="zh-CN"/>
              </w:rPr>
              <w:t>合作</w:t>
            </w:r>
            <w:r>
              <w:rPr>
                <w:rFonts w:hint="eastAsia" w:ascii="宋体" w:hAnsi="宋体" w:eastAsia="宋体" w:cs="宋体"/>
                <w:spacing w:val="-3"/>
                <w:sz w:val="24"/>
                <w:szCs w:val="24"/>
                <w:highlight w:val="none"/>
              </w:rPr>
              <w:t>时间计算，不足整月的按实际天数计算，多退</w:t>
            </w:r>
            <w:r>
              <w:rPr>
                <w:rFonts w:hint="eastAsia" w:ascii="宋体" w:hAnsi="宋体" w:eastAsia="宋体" w:cs="宋体"/>
                <w:spacing w:val="-4"/>
                <w:sz w:val="24"/>
                <w:szCs w:val="24"/>
                <w:highlight w:val="none"/>
              </w:rPr>
              <w:t>少补。</w:t>
            </w:r>
          </w:p>
          <w:p>
            <w:pPr>
              <w:pStyle w:val="12"/>
              <w:keepNext w:val="0"/>
              <w:keepLines w:val="0"/>
              <w:pageBreakBefore w:val="0"/>
              <w:widowControl w:val="0"/>
              <w:numPr>
                <w:ilvl w:val="0"/>
                <w:numId w:val="1"/>
              </w:numPr>
              <w:wordWrap/>
              <w:overflowPunct/>
              <w:topLinePunct w:val="0"/>
              <w:bidi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合同期满或终止时，</w:t>
            </w:r>
            <w:r>
              <w:rPr>
                <w:rFonts w:hint="eastAsia" w:cs="宋体"/>
                <w:spacing w:val="-1"/>
                <w:sz w:val="24"/>
                <w:szCs w:val="24"/>
                <w:highlight w:val="none"/>
                <w:lang w:val="en-US" w:eastAsia="zh-CN"/>
              </w:rPr>
              <w:t>合作方应在10日内将场地恢复原状（除双方约定一致保留部分项目外），结清水、电和物业管理等费用，</w:t>
            </w:r>
            <w:r>
              <w:rPr>
                <w:rFonts w:hint="eastAsia" w:cs="宋体"/>
                <w:spacing w:val="-1"/>
                <w:sz w:val="24"/>
                <w:szCs w:val="24"/>
                <w:highlight w:val="none"/>
                <w:lang w:eastAsia="zh-CN"/>
              </w:rPr>
              <w:t>且不得提出任何补偿要求。</w:t>
            </w:r>
            <w:r>
              <w:rPr>
                <w:rFonts w:hint="eastAsia" w:cs="宋体"/>
                <w:spacing w:val="-1"/>
                <w:sz w:val="24"/>
                <w:szCs w:val="24"/>
                <w:highlight w:val="none"/>
                <w:lang w:val="en-US" w:eastAsia="zh-CN"/>
              </w:rPr>
              <w:t>经</w:t>
            </w:r>
            <w:r>
              <w:rPr>
                <w:rFonts w:hint="eastAsia" w:cs="宋体"/>
                <w:spacing w:val="-1"/>
                <w:sz w:val="24"/>
                <w:szCs w:val="24"/>
                <w:highlight w:val="none"/>
                <w:lang w:eastAsia="zh-CN"/>
              </w:rPr>
              <w:t>招商方</w:t>
            </w:r>
            <w:r>
              <w:rPr>
                <w:rFonts w:hint="eastAsia" w:cs="宋体"/>
                <w:spacing w:val="-1"/>
                <w:sz w:val="24"/>
                <w:szCs w:val="24"/>
                <w:highlight w:val="none"/>
                <w:lang w:val="en-US" w:eastAsia="zh-CN"/>
              </w:rPr>
              <w:t>验收合格后，退还合作方交易保证金。</w:t>
            </w:r>
          </w:p>
          <w:p>
            <w:pPr>
              <w:pStyle w:val="12"/>
              <w:keepNext w:val="0"/>
              <w:keepLines w:val="0"/>
              <w:pageBreakBefore w:val="0"/>
              <w:widowControl w:val="0"/>
              <w:numPr>
                <w:ilvl w:val="0"/>
                <w:numId w:val="1"/>
              </w:numPr>
              <w:wordWrap/>
              <w:overflowPunct/>
              <w:topLinePunct w:val="0"/>
              <w:bidi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合作方应在</w:t>
            </w:r>
            <w:r>
              <w:rPr>
                <w:spacing w:val="-1"/>
                <w:highlight w:val="none"/>
              </w:rPr>
              <w:t>《</w:t>
            </w:r>
            <w:r>
              <w:rPr>
                <w:rFonts w:hint="eastAsia"/>
                <w:spacing w:val="-1"/>
                <w:highlight w:val="none"/>
                <w:lang w:eastAsia="zh-CN"/>
              </w:rPr>
              <w:t>招商结果通知</w:t>
            </w:r>
            <w:r>
              <w:rPr>
                <w:spacing w:val="-1"/>
                <w:highlight w:val="none"/>
              </w:rPr>
              <w:t>书》</w:t>
            </w:r>
            <w:r>
              <w:rPr>
                <w:rFonts w:hint="eastAsia" w:cs="宋体"/>
                <w:spacing w:val="-1"/>
                <w:sz w:val="24"/>
                <w:szCs w:val="24"/>
                <w:highlight w:val="none"/>
                <w:lang w:eastAsia="zh-CN"/>
              </w:rPr>
              <w:t>发出之日起</w:t>
            </w:r>
            <w:r>
              <w:rPr>
                <w:rFonts w:hint="eastAsia" w:cs="宋体"/>
                <w:spacing w:val="-1"/>
                <w:sz w:val="24"/>
                <w:szCs w:val="24"/>
                <w:highlight w:val="none"/>
                <w:lang w:val="en-US" w:eastAsia="zh-CN"/>
              </w:rPr>
              <w:t>7个工作日</w:t>
            </w:r>
            <w:r>
              <w:rPr>
                <w:rFonts w:hint="eastAsia" w:cs="宋体"/>
                <w:spacing w:val="-1"/>
                <w:sz w:val="24"/>
                <w:szCs w:val="24"/>
                <w:highlight w:val="none"/>
                <w:lang w:eastAsia="zh-CN"/>
              </w:rPr>
              <w:t>内与招商方签订《合作经营合同》。</w:t>
            </w:r>
          </w:p>
          <w:p>
            <w:pPr>
              <w:pStyle w:val="12"/>
              <w:keepNext w:val="0"/>
              <w:keepLines w:val="0"/>
              <w:pageBreakBefore w:val="0"/>
              <w:widowControl w:val="0"/>
              <w:numPr>
                <w:ilvl w:val="0"/>
                <w:numId w:val="1"/>
              </w:numPr>
              <w:wordWrap/>
              <w:overflowPunct/>
              <w:topLinePunct w:val="0"/>
              <w:bidi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其他未尽事宜详见本公告附件《合作经营合同》。</w:t>
            </w:r>
          </w:p>
          <w:p>
            <w:pPr>
              <w:pStyle w:val="12"/>
              <w:keepNext w:val="0"/>
              <w:keepLines w:val="0"/>
              <w:pageBreakBefore w:val="0"/>
              <w:widowControl w:val="0"/>
              <w:numPr>
                <w:ilvl w:val="0"/>
                <w:numId w:val="0"/>
              </w:numPr>
              <w:wordWrap/>
              <w:overflowPunct/>
              <w:topLinePunct w:val="0"/>
              <w:bidi w:val="0"/>
              <w:spacing w:line="240" w:lineRule="auto"/>
              <w:ind w:leftChars="50" w:right="0" w:rightChars="0"/>
              <w:jc w:val="both"/>
              <w:rPr>
                <w:rFonts w:hint="eastAsia" w:cs="宋体"/>
                <w:spacing w:val="-1"/>
                <w:sz w:val="24"/>
                <w:szCs w:val="24"/>
                <w:highlight w:val="none"/>
                <w:lang w:eastAsia="zh-CN"/>
              </w:rPr>
            </w:pPr>
            <w:r>
              <w:rPr>
                <w:rFonts w:hint="eastAsia" w:cs="宋体"/>
                <w:spacing w:val="-1"/>
                <w:sz w:val="24"/>
                <w:szCs w:val="24"/>
                <w:highlight w:val="none"/>
                <w:lang w:val="en-US" w:eastAsia="zh-CN"/>
              </w:rPr>
              <w:t>10.</w:t>
            </w:r>
            <w:r>
              <w:rPr>
                <w:rFonts w:hint="eastAsia" w:cs="宋体"/>
                <w:spacing w:val="-1"/>
                <w:sz w:val="24"/>
                <w:szCs w:val="24"/>
                <w:highlight w:val="none"/>
                <w:lang w:eastAsia="zh-CN"/>
              </w:rPr>
              <w:t>特别说明：</w:t>
            </w:r>
          </w:p>
          <w:p>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105" w:leftChars="50" w:right="0" w:rightChars="0" w:firstLine="0" w:firstLineChars="0"/>
              <w:jc w:val="both"/>
              <w:textAlignment w:val="baseline"/>
              <w:rPr>
                <w:highlight w:val="none"/>
              </w:rPr>
            </w:pPr>
            <w:r>
              <w:rPr>
                <w:rFonts w:hint="eastAsia"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需自行评估参与本次招商的预期风险及收益，参与</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招商视作认可</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招商相关要求及规定，本招商公告最终解释权归</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所有。</w:t>
            </w:r>
          </w:p>
          <w:p>
            <w:pPr>
              <w:pStyle w:val="12"/>
              <w:keepNext w:val="0"/>
              <w:keepLines w:val="0"/>
              <w:pageBreakBefore w:val="0"/>
              <w:widowControl w:val="0"/>
              <w:wordWrap/>
              <w:overflowPunct/>
              <w:topLinePunct w:val="0"/>
              <w:bidi w:val="0"/>
              <w:spacing w:line="240" w:lineRule="auto"/>
              <w:ind w:left="105" w:leftChars="50" w:right="0" w:firstLine="0" w:firstLineChars="0"/>
              <w:jc w:val="both"/>
              <w:rPr>
                <w:highlight w:val="none"/>
              </w:rPr>
            </w:pPr>
          </w:p>
        </w:tc>
      </w:tr>
    </w:tbl>
    <w:tbl>
      <w:tblPr>
        <w:tblStyle w:val="10"/>
        <w:tblW w:w="1005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59" w:type="dxa"/>
            <w:noWrap w:val="0"/>
            <w:vAlign w:val="top"/>
          </w:tcPr>
          <w:p>
            <w:pPr>
              <w:pStyle w:val="14"/>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 xml:space="preserve">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0059" w:type="dxa"/>
            <w:noWrap w:val="0"/>
            <w:vAlign w:val="top"/>
          </w:tcPr>
          <w:p>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价格评分法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w:t>
            </w:r>
            <w:r>
              <w:rPr>
                <w:rFonts w:hint="eastAsia"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w:t>
            </w:r>
          </w:p>
          <w:tbl>
            <w:tblPr>
              <w:tblStyle w:val="10"/>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85"/>
              <w:gridCol w:w="681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94"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118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81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7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w:t>
                  </w:r>
                </w:p>
              </w:tc>
              <w:tc>
                <w:tcPr>
                  <w:tcW w:w="118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保底报价（要求不少于3.1万元））</w:t>
                  </w:r>
                </w:p>
              </w:tc>
              <w:tc>
                <w:tcPr>
                  <w:tcW w:w="68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rPr>
                  </w:pP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应</w:t>
                  </w:r>
                  <w:r>
                    <w:rPr>
                      <w:rFonts w:hint="eastAsia" w:ascii="宋体" w:hAnsi="宋体" w:eastAsia="宋体" w:cs="Times New Roman"/>
                      <w:color w:val="000000"/>
                      <w:spacing w:val="3"/>
                      <w:sz w:val="24"/>
                      <w:highlight w:val="none"/>
                      <w:lang w:eastAsia="zh-CN"/>
                    </w:rPr>
                    <w:t>根据</w:t>
                  </w:r>
                  <w:r>
                    <w:rPr>
                      <w:rFonts w:hint="eastAsia" w:ascii="宋体" w:hAnsi="宋体" w:eastAsia="宋体" w:cs="Times New Roman"/>
                      <w:color w:val="000000"/>
                      <w:spacing w:val="3"/>
                      <w:sz w:val="24"/>
                      <w:highlight w:val="none"/>
                    </w:rPr>
                    <w:t>自身综合能力，</w:t>
                  </w:r>
                  <w:r>
                    <w:rPr>
                      <w:rFonts w:hint="eastAsia" w:ascii="宋体" w:hAnsi="宋体" w:eastAsia="宋体" w:cs="Times New Roman"/>
                      <w:color w:val="000000"/>
                      <w:spacing w:val="3"/>
                      <w:sz w:val="24"/>
                      <w:highlight w:val="none"/>
                      <w:lang w:val="en-US" w:eastAsia="zh-CN"/>
                    </w:rPr>
                    <w:t>对招商方年度能获得的保底分成额</w:t>
                  </w:r>
                  <w:r>
                    <w:rPr>
                      <w:rFonts w:hint="eastAsia" w:ascii="宋体" w:hAnsi="宋体" w:eastAsia="宋体" w:cs="Times New Roman"/>
                      <w:color w:val="000000"/>
                      <w:spacing w:val="3"/>
                      <w:sz w:val="24"/>
                      <w:highlight w:val="none"/>
                    </w:rPr>
                    <w:t>做出</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需</w:t>
                  </w:r>
                  <w:r>
                    <w:rPr>
                      <w:rFonts w:hint="eastAsia" w:ascii="宋体" w:hAnsi="宋体" w:eastAsia="宋体" w:cs="Times New Roman"/>
                      <w:color w:val="000000"/>
                      <w:spacing w:val="3"/>
                      <w:sz w:val="24"/>
                      <w:highlight w:val="none"/>
                      <w:lang w:eastAsia="zh-CN"/>
                    </w:rPr>
                    <w:t>不少于</w:t>
                  </w:r>
                  <w:r>
                    <w:rPr>
                      <w:rFonts w:hint="eastAsia" w:ascii="宋体" w:hAnsi="宋体" w:eastAsia="宋体" w:cs="Times New Roman"/>
                      <w:color w:val="000000"/>
                      <w:spacing w:val="3"/>
                      <w:sz w:val="24"/>
                      <w:highlight w:val="none"/>
                      <w:lang w:val="en-US" w:eastAsia="zh-CN"/>
                    </w:rPr>
                    <w:t>项目评估底价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以满足文件要求的有效最高保底报价作为基准价，得分50分，其他报价得分=</w:t>
                  </w:r>
                  <w:r>
                    <w:rPr>
                      <w:rFonts w:hint="eastAsia" w:ascii="宋体" w:hAnsi="宋体" w:eastAsia="宋体" w:cs="Times New Roman"/>
                      <w:color w:val="000000"/>
                      <w:spacing w:val="3"/>
                      <w:sz w:val="24"/>
                      <w:highlight w:val="none"/>
                    </w:rPr>
                    <w:t>（其他报价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50</w:t>
                  </w:r>
                  <w:r>
                    <w:rPr>
                      <w:rFonts w:hint="eastAsia" w:ascii="宋体" w:hAnsi="宋体" w:eastAsia="宋体" w:cs="Times New Roman"/>
                      <w:color w:val="000000"/>
                      <w:spacing w:val="3"/>
                      <w:sz w:val="24"/>
                      <w:highlight w:val="none"/>
                    </w:rPr>
                    <w:t>%×100（保留至小数点后两位）。</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rPr>
                    <w:t>注意：招商方全年分成总和大于保底报价时，招商方按照分成总和收取合作经营款，招商方全年分成总和小于等于保底报价时，招商方按照保底报价收取合作经营款</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请</w:t>
                  </w: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谨慎对待，慎重</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p>
              </w:tc>
              <w:tc>
                <w:tcPr>
                  <w:tcW w:w="105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w:t>
                  </w:r>
                </w:p>
              </w:tc>
              <w:tc>
                <w:tcPr>
                  <w:tcW w:w="118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分成比例报价（要求不少于30%）</w:t>
                  </w:r>
                </w:p>
              </w:tc>
              <w:tc>
                <w:tcPr>
                  <w:tcW w:w="68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highlight w:val="none"/>
                      <w:lang w:val="en-US" w:eastAsia="zh-CN"/>
                    </w:rPr>
                  </w:pPr>
                  <w:r>
                    <w:rPr>
                      <w:rFonts w:hint="eastAsia" w:ascii="宋体" w:hAnsi="宋体" w:eastAsia="宋体" w:cs="Times New Roman"/>
                      <w:color w:val="000000"/>
                      <w:spacing w:val="3"/>
                      <w:sz w:val="24"/>
                      <w:highlight w:val="none"/>
                      <w:lang w:val="en-US" w:eastAsia="zh-CN"/>
                    </w:rPr>
                    <w:t>招商方分成比例最低不得少于30%</w:t>
                  </w:r>
                  <w:r>
                    <w:rPr>
                      <w:rFonts w:hint="eastAsia" w:ascii="宋体" w:hAnsi="宋体" w:eastAsia="宋体" w:cs="Times New Roman"/>
                      <w:color w:val="000000"/>
                      <w:spacing w:val="3"/>
                      <w:sz w:val="24"/>
                      <w:highlight w:val="none"/>
                      <w:lang w:eastAsia="zh-CN"/>
                    </w:rPr>
                    <w:t>，</w:t>
                  </w:r>
                  <w:r>
                    <w:rPr>
                      <w:rFonts w:hint="eastAsia" w:ascii="宋体" w:hAnsi="宋体" w:eastAsia="宋体" w:cs="Times New Roman"/>
                      <w:color w:val="000000"/>
                      <w:spacing w:val="3"/>
                      <w:sz w:val="24"/>
                      <w:highlight w:val="none"/>
                    </w:rPr>
                    <w:t>以满足文件要求的有效最</w:t>
                  </w:r>
                  <w:r>
                    <w:rPr>
                      <w:rFonts w:hint="eastAsia" w:ascii="宋体" w:hAnsi="宋体" w:eastAsia="宋体" w:cs="Times New Roman"/>
                      <w:color w:val="000000"/>
                      <w:spacing w:val="3"/>
                      <w:sz w:val="24"/>
                      <w:highlight w:val="none"/>
                      <w:lang w:val="en-US" w:eastAsia="zh-CN"/>
                    </w:rPr>
                    <w:t>高招商方分成比例报价</w:t>
                  </w:r>
                  <w:r>
                    <w:rPr>
                      <w:rFonts w:hint="eastAsia" w:ascii="宋体" w:hAnsi="宋体" w:eastAsia="宋体" w:cs="Times New Roman"/>
                      <w:color w:val="000000"/>
                      <w:spacing w:val="3"/>
                      <w:sz w:val="24"/>
                      <w:highlight w:val="none"/>
                    </w:rPr>
                    <w:t>为基准价，得</w:t>
                  </w:r>
                  <w:r>
                    <w:rPr>
                      <w:rFonts w:hint="eastAsia" w:ascii="宋体" w:hAnsi="宋体" w:eastAsia="宋体" w:cs="Times New Roman"/>
                      <w:color w:val="000000"/>
                      <w:spacing w:val="3"/>
                      <w:sz w:val="24"/>
                      <w:highlight w:val="none"/>
                      <w:lang w:val="en-US" w:eastAsia="zh-CN"/>
                    </w:rPr>
                    <w:t>50</w:t>
                  </w:r>
                  <w:r>
                    <w:rPr>
                      <w:rFonts w:hint="eastAsia" w:ascii="宋体" w:hAnsi="宋体" w:eastAsia="宋体" w:cs="Times New Roman"/>
                      <w:color w:val="000000"/>
                      <w:spacing w:val="3"/>
                      <w:sz w:val="24"/>
                      <w:highlight w:val="none"/>
                    </w:rPr>
                    <w:t>分，其他报价得分=（其他报价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50</w:t>
                  </w:r>
                  <w:r>
                    <w:rPr>
                      <w:rFonts w:hint="eastAsia" w:ascii="宋体" w:hAnsi="宋体" w:eastAsia="宋体" w:cs="Times New Roman"/>
                      <w:color w:val="000000"/>
                      <w:spacing w:val="3"/>
                      <w:sz w:val="24"/>
                      <w:highlight w:val="none"/>
                    </w:rPr>
                    <w:t>%×100（保留至小数点后两位）。</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3</w:t>
                  </w:r>
                </w:p>
              </w:tc>
              <w:tc>
                <w:tcPr>
                  <w:tcW w:w="8002"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2</w:t>
                  </w:r>
                  <w:r>
                    <w:rPr>
                      <w:rFonts w:hint="eastAsia" w:ascii="宋体" w:hAnsi="宋体" w:cs="宋体"/>
                      <w:b/>
                      <w:bCs/>
                      <w:color w:val="000000"/>
                      <w:sz w:val="24"/>
                      <w:szCs w:val="24"/>
                      <w:highlight w:val="none"/>
                    </w:rPr>
                    <w:t>项）</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pPr>
              <w:pStyle w:val="12"/>
              <w:numPr>
                <w:ilvl w:val="0"/>
                <w:numId w:val="0"/>
              </w:numPr>
              <w:kinsoku w:val="0"/>
              <w:autoSpaceDE w:val="0"/>
              <w:autoSpaceDN w:val="0"/>
              <w:adjustRightInd w:val="0"/>
              <w:snapToGrid w:val="0"/>
              <w:spacing w:before="115" w:line="360"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p>
          <w:p>
            <w:pPr>
              <w:pStyle w:val="14"/>
              <w:spacing w:before="2" w:line="360" w:lineRule="auto"/>
              <w:ind w:right="95"/>
              <w:rPr>
                <w:rFonts w:hint="eastAsia" w:ascii="宋体" w:hAnsi="宋体" w:eastAsia="宋体" w:cs="宋体"/>
                <w:color w:val="000000"/>
                <w:w w:val="100"/>
                <w:sz w:val="24"/>
                <w:szCs w:val="24"/>
                <w:highlight w:val="none"/>
              </w:rPr>
            </w:pPr>
            <w:r>
              <w:rPr>
                <w:rFonts w:hint="eastAsia" w:ascii="宋体" w:hAnsi="宋体" w:eastAsia="宋体" w:cs="宋体"/>
                <w:b/>
                <w:color w:val="000000"/>
                <w:sz w:val="24"/>
                <w:szCs w:val="24"/>
                <w:highlight w:val="none"/>
              </w:rPr>
              <w:t>注：最高报价是指不低于公告底价的最高报价。</w:t>
            </w:r>
            <w:r>
              <w:rPr>
                <w:rFonts w:hint="eastAsia" w:ascii="宋体" w:hAnsi="宋体" w:eastAsia="宋体" w:cs="宋体"/>
                <w:color w:val="000000"/>
                <w:w w:val="100"/>
                <w:sz w:val="24"/>
                <w:szCs w:val="24"/>
                <w:highlight w:val="none"/>
              </w:rPr>
              <w:t xml:space="preserve"> </w:t>
            </w:r>
          </w:p>
          <w:p>
            <w:pPr>
              <w:pStyle w:val="14"/>
              <w:spacing w:before="2" w:line="310" w:lineRule="atLeast"/>
              <w:ind w:right="95"/>
              <w:rPr>
                <w:rFonts w:hint="eastAsia" w:ascii="宋体" w:hAnsi="宋体" w:eastAsia="宋体" w:cs="宋体"/>
                <w:color w:val="000000"/>
                <w:w w:val="1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059" w:type="dxa"/>
            <w:noWrap w:val="0"/>
            <w:vAlign w:val="center"/>
          </w:tcPr>
          <w:p>
            <w:pPr>
              <w:pStyle w:val="14"/>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0059" w:type="dxa"/>
            <w:noWrap w:val="0"/>
            <w:vAlign w:val="center"/>
          </w:tcPr>
          <w:p>
            <w:pPr>
              <w:numPr>
                <w:ilvl w:val="0"/>
                <w:numId w:val="0"/>
              </w:numPr>
              <w:ind w:right="0" w:rightChars="0"/>
              <w:jc w:val="both"/>
              <w:rPr>
                <w:rFonts w:hint="eastAsia"/>
                <w:color w:val="000000"/>
                <w:highlight w:val="none"/>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http://www.zwzcgl.com/index/lists/011</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完整填写信息，在公告期内（2024年10月30日17:00前）发送至邮箱：</w:t>
            </w:r>
            <w:r>
              <w:rPr>
                <w:rFonts w:hint="eastAsia" w:ascii="宋体" w:hAnsi="宋体" w:eastAsia="宋体" w:cs="宋体"/>
                <w:b w:val="0"/>
                <w:bCs w:val="0"/>
                <w:color w:val="000000"/>
                <w:sz w:val="24"/>
                <w:szCs w:val="24"/>
                <w:highlight w:val="none"/>
                <w:u w:val="single"/>
                <w:lang w:val="en-US" w:eastAsia="zh-CN" w:bidi="zh-CN"/>
              </w:rPr>
              <w:t>2314992605@qq.com</w:t>
            </w:r>
          </w:p>
        </w:tc>
      </w:tr>
    </w:tbl>
    <w:tbl>
      <w:tblPr>
        <w:tblStyle w:val="13"/>
        <w:tblW w:w="10059"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9"/>
        <w:gridCol w:w="8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0059" w:type="dxa"/>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合作方</w:t>
            </w:r>
            <w:r>
              <w:rPr>
                <w:rFonts w:hint="eastAsia" w:ascii="宋体" w:hAnsi="宋体" w:eastAsia="宋体" w:cs="宋体"/>
                <w:color w:val="000000"/>
                <w:sz w:val="24"/>
                <w:szCs w:val="24"/>
                <w:highlight w:val="none"/>
                <w:lang w:val="en-US" w:eastAsia="zh-CN" w:bidi="zh-CN"/>
              </w:rPr>
              <w:t>需提供的材料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419"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640"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应提供的材料，包含但不限于以下内容：</w:t>
            </w:r>
          </w:p>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w:t>
            </w:r>
            <w:r>
              <w:rPr>
                <w:rFonts w:hint="eastAsia" w:ascii="宋体" w:hAnsi="宋体" w:cs="宋体"/>
                <w:b w:val="0"/>
                <w:bCs w:val="0"/>
                <w:color w:val="000000"/>
                <w:sz w:val="24"/>
                <w:szCs w:val="24"/>
                <w:highlight w:val="none"/>
                <w:lang w:val="en-US" w:eastAsia="zh-CN"/>
              </w:rPr>
              <w:t>或委托代理人</w:t>
            </w:r>
            <w:r>
              <w:rPr>
                <w:rFonts w:hint="eastAsia" w:ascii="宋体" w:hAnsi="宋体" w:eastAsia="宋体" w:cs="宋体"/>
                <w:b w:val="0"/>
                <w:bCs w:val="0"/>
                <w:color w:val="000000"/>
                <w:sz w:val="24"/>
                <w:szCs w:val="24"/>
                <w:highlight w:val="none"/>
                <w:lang w:val="en-US" w:eastAsia="zh-CN"/>
              </w:rPr>
              <w:t>身份证复印件</w:t>
            </w:r>
            <w:r>
              <w:rPr>
                <w:rFonts w:hint="eastAsia" w:ascii="宋体" w:hAnsi="宋体" w:cs="宋体"/>
                <w:b w:val="0"/>
                <w:bCs w:val="0"/>
                <w:color w:val="000000"/>
                <w:sz w:val="24"/>
                <w:szCs w:val="24"/>
                <w:highlight w:val="none"/>
                <w:lang w:val="en-US" w:eastAsia="zh-CN"/>
              </w:rPr>
              <w:t>及授权委托书</w:t>
            </w:r>
            <w:r>
              <w:rPr>
                <w:rFonts w:hint="eastAsia" w:ascii="宋体" w:hAnsi="宋体" w:eastAsia="宋体" w:cs="宋体"/>
                <w:b w:val="0"/>
                <w:bCs w:val="0"/>
                <w:color w:val="000000"/>
                <w:sz w:val="24"/>
                <w:szCs w:val="24"/>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认为必要的其他证明资料</w:t>
            </w:r>
            <w:r>
              <w:rPr>
                <w:rFonts w:hint="eastAsia" w:ascii="宋体" w:hAnsi="宋体" w:cs="宋体"/>
                <w:b w:val="0"/>
                <w:bCs w:val="0"/>
                <w:color w:val="000000"/>
                <w:sz w:val="24"/>
                <w:szCs w:val="24"/>
                <w:highlight w:val="none"/>
                <w:lang w:val="en-US" w:eastAsia="zh-CN"/>
              </w:rPr>
              <w:t>，例如合作方信用承诺等</w:t>
            </w:r>
            <w:r>
              <w:rPr>
                <w:rFonts w:hint="eastAsia" w:ascii="宋体" w:hAnsi="宋体" w:eastAsia="宋体" w:cs="宋体"/>
                <w:b w:val="0"/>
                <w:bCs w:val="0"/>
                <w:color w:val="000000"/>
                <w:sz w:val="24"/>
                <w:szCs w:val="24"/>
                <w:highlight w:val="none"/>
                <w:lang w:val="en-US" w:eastAsia="zh-CN"/>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val="en-US" w:eastAsia="zh-CN"/>
              </w:rPr>
              <w:t>.报价单（报价单须加盖单位公章）。</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w:t>
            </w:r>
            <w:r>
              <w:rPr>
                <w:rFonts w:hint="eastAsia" w:ascii="宋体" w:hAnsi="宋体" w:cs="宋体"/>
                <w:color w:val="000000"/>
                <w:kern w:val="0"/>
                <w:sz w:val="24"/>
                <w:szCs w:val="24"/>
                <w:highlight w:val="none"/>
                <w:lang w:eastAsia="zh-CN"/>
              </w:rPr>
              <w:t>骆驼照相项目</w:t>
            </w:r>
            <w:r>
              <w:rPr>
                <w:rFonts w:hint="eastAsia" w:ascii="宋体" w:hAnsi="宋体" w:eastAsia="宋体" w:cs="宋体"/>
                <w:color w:val="000000"/>
                <w:kern w:val="0"/>
                <w:sz w:val="24"/>
                <w:szCs w:val="24"/>
                <w:highlight w:val="none"/>
              </w:rPr>
              <w:t>招商</w:t>
            </w: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color w:val="000000"/>
                <w:sz w:val="24"/>
                <w:szCs w:val="24"/>
                <w:highlight w:val="none"/>
              </w:rPr>
              <w:t xml:space="preserve"> </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yellow"/>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高新区望江西路600号合肥野生动物园商业管理部，报送截止时间为：2024年10月31日下午14:50</w:t>
            </w: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p>
      <w:pPr>
        <w:spacing w:line="207" w:lineRule="exact"/>
        <w:rPr>
          <w:rFonts w:ascii="Arial" w:hAnsi="Arial" w:eastAsia="Arial" w:cs="Arial"/>
          <w:sz w:val="18"/>
          <w:szCs w:val="18"/>
          <w:highlight w:val="none"/>
        </w:rPr>
        <w:sectPr>
          <w:footerReference r:id="rId3" w:type="default"/>
          <w:pgSz w:w="11906" w:h="16839"/>
          <w:pgMar w:top="1118" w:right="967" w:bottom="1362" w:left="967" w:header="878" w:footer="1200" w:gutter="0"/>
          <w:pgNumType w:fmt="decimal"/>
          <w:cols w:space="720" w:num="1"/>
        </w:sectPr>
      </w:pPr>
    </w:p>
    <w:tbl>
      <w:tblPr>
        <w:tblStyle w:val="10"/>
        <w:tblW w:w="9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4"/>
        <w:gridCol w:w="7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9925" w:type="dxa"/>
            <w:gridSpan w:val="2"/>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招商</w:t>
            </w:r>
            <w:r>
              <w:rPr>
                <w:rFonts w:hint="eastAsia" w:ascii="宋体" w:hAnsi="宋体" w:eastAsia="宋体" w:cs="宋体"/>
                <w:color w:val="000000"/>
                <w:sz w:val="24"/>
                <w:szCs w:val="24"/>
                <w:highlight w:val="none"/>
              </w:rPr>
              <w:t>结束后相关程序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210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cs="宋体"/>
                <w:color w:val="000000"/>
                <w:sz w:val="24"/>
                <w:szCs w:val="24"/>
                <w:highlight w:val="none"/>
                <w:lang w:val="en-US" w:eastAsia="zh-CN" w:bidi="zh-CN"/>
              </w:rPr>
              <w:t>招商结果公告</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招商</w:t>
            </w:r>
            <w:r>
              <w:rPr>
                <w:rFonts w:hint="eastAsia" w:ascii="宋体" w:hAnsi="宋体" w:eastAsia="宋体" w:cs="宋体"/>
                <w:i w:val="0"/>
                <w:iCs w:val="0"/>
                <w:caps w:val="0"/>
                <w:color w:val="000000"/>
                <w:spacing w:val="0"/>
                <w:sz w:val="24"/>
                <w:szCs w:val="24"/>
                <w:highlight w:val="none"/>
                <w:shd w:val="clear" w:color="auto" w:fill="FFFFFF"/>
                <w:lang w:val="en-US" w:eastAsia="zh-CN"/>
              </w:rPr>
              <w:t>结束且无异常情况，</w:t>
            </w:r>
            <w:r>
              <w:rPr>
                <w:rFonts w:hint="eastAsia" w:ascii="宋体" w:hAnsi="宋体" w:cs="宋体"/>
                <w:i w:val="0"/>
                <w:iCs w:val="0"/>
                <w:caps w:val="0"/>
                <w:color w:val="000000"/>
                <w:spacing w:val="0"/>
                <w:sz w:val="24"/>
                <w:szCs w:val="24"/>
                <w:highlight w:val="none"/>
                <w:shd w:val="clear" w:color="auto" w:fill="FFFFFF"/>
                <w:lang w:val="en-US" w:eastAsia="zh-CN"/>
              </w:rPr>
              <w:t>合肥文旅博览集团野生动物园管理有限公司将在合肥文旅博览集团官网</w:t>
            </w:r>
            <w:r>
              <w:rPr>
                <w:rFonts w:hint="eastAsia" w:ascii="宋体" w:hAnsi="宋体" w:eastAsia="宋体" w:cs="宋体"/>
                <w:i w:val="0"/>
                <w:iCs w:val="0"/>
                <w:caps w:val="0"/>
                <w:color w:val="000000"/>
                <w:spacing w:val="0"/>
                <w:sz w:val="24"/>
                <w:szCs w:val="24"/>
                <w:highlight w:val="none"/>
                <w:shd w:val="clear" w:color="auto" w:fill="FFFFFF"/>
                <w:lang w:val="en-US" w:eastAsia="zh-CN"/>
              </w:rPr>
              <w:t>发布</w:t>
            </w:r>
            <w:r>
              <w:rPr>
                <w:rFonts w:hint="eastAsia" w:ascii="宋体" w:hAnsi="宋体" w:cs="宋体"/>
                <w:i w:val="0"/>
                <w:iCs w:val="0"/>
                <w:caps w:val="0"/>
                <w:color w:val="000000"/>
                <w:spacing w:val="0"/>
                <w:sz w:val="24"/>
                <w:szCs w:val="24"/>
                <w:highlight w:val="none"/>
                <w:shd w:val="clear" w:color="auto" w:fill="FFFFFF"/>
                <w:lang w:val="en-US" w:eastAsia="zh-CN"/>
              </w:rPr>
              <w:t>招商结果</w:t>
            </w:r>
            <w:r>
              <w:rPr>
                <w:rFonts w:hint="eastAsia" w:ascii="宋体" w:hAnsi="宋体" w:eastAsia="宋体" w:cs="宋体"/>
                <w:i w:val="0"/>
                <w:iCs w:val="0"/>
                <w:caps w:val="0"/>
                <w:color w:val="000000"/>
                <w:spacing w:val="0"/>
                <w:sz w:val="24"/>
                <w:szCs w:val="24"/>
                <w:highlight w:val="none"/>
                <w:shd w:val="clear" w:color="auto" w:fill="FFFFFF"/>
                <w:lang w:val="en-US" w:eastAsia="zh-CN"/>
              </w:rPr>
              <w:t>公告，公示期</w:t>
            </w:r>
            <w:r>
              <w:rPr>
                <w:rFonts w:hint="eastAsia" w:ascii="宋体" w:hAnsi="宋体" w:cs="宋体"/>
                <w:i w:val="0"/>
                <w:iCs w:val="0"/>
                <w:caps w:val="0"/>
                <w:color w:val="000000"/>
                <w:spacing w:val="0"/>
                <w:sz w:val="24"/>
                <w:szCs w:val="24"/>
                <w:highlight w:val="none"/>
                <w:shd w:val="clear" w:color="auto" w:fill="FFFFFF"/>
                <w:lang w:val="en-US" w:eastAsia="zh-CN"/>
              </w:rPr>
              <w:t>3个工作日</w:t>
            </w:r>
            <w:r>
              <w:rPr>
                <w:rFonts w:hint="eastAsia" w:ascii="宋体" w:hAnsi="宋体" w:eastAsia="宋体" w:cs="宋体"/>
                <w:i w:val="0"/>
                <w:iCs w:val="0"/>
                <w:caps w:val="0"/>
                <w:color w:val="000000"/>
                <w:spacing w:val="0"/>
                <w:sz w:val="24"/>
                <w:szCs w:val="24"/>
                <w:highlight w:val="none"/>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210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签订合同</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中标供应商请于</w:t>
            </w:r>
            <w:r>
              <w:rPr>
                <w:rFonts w:hint="eastAsia" w:ascii="宋体" w:hAnsi="宋体" w:cs="宋体"/>
                <w:i w:val="0"/>
                <w:iCs w:val="0"/>
                <w:caps w:val="0"/>
                <w:color w:val="000000"/>
                <w:spacing w:val="0"/>
                <w:sz w:val="24"/>
                <w:szCs w:val="24"/>
                <w:highlight w:val="none"/>
                <w:shd w:val="clear" w:color="auto" w:fill="FFFFFF"/>
                <w:lang w:val="en-US" w:eastAsia="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rPr>
              <w:t>期结束日起 7 个工作日内前来我司签订</w:t>
            </w:r>
            <w:r>
              <w:rPr>
                <w:rFonts w:hint="eastAsia" w:ascii="宋体" w:hAnsi="宋体" w:cs="宋体"/>
                <w:i w:val="0"/>
                <w:iCs w:val="0"/>
                <w:caps w:val="0"/>
                <w:color w:val="000000"/>
                <w:spacing w:val="0"/>
                <w:sz w:val="24"/>
                <w:szCs w:val="24"/>
                <w:highlight w:val="none"/>
                <w:shd w:val="clear" w:color="auto" w:fill="FFFFFF"/>
                <w:lang w:val="en-US" w:eastAsia="zh-CN"/>
              </w:rPr>
              <w:t>合作经营</w:t>
            </w:r>
            <w:r>
              <w:rPr>
                <w:rFonts w:hint="eastAsia" w:ascii="宋体" w:hAnsi="宋体" w:eastAsia="宋体" w:cs="宋体"/>
                <w:i w:val="0"/>
                <w:iCs w:val="0"/>
                <w:caps w:val="0"/>
                <w:color w:val="000000"/>
                <w:spacing w:val="0"/>
                <w:sz w:val="24"/>
                <w:szCs w:val="24"/>
                <w:highlight w:val="none"/>
                <w:shd w:val="clear" w:color="auto" w:fill="FFFFFF"/>
                <w:lang w:val="en-US" w:eastAsia="zh-CN"/>
              </w:rPr>
              <w:t>合同。公司地址：</w:t>
            </w:r>
            <w:r>
              <w:rPr>
                <w:rFonts w:hint="eastAsia" w:ascii="宋体" w:hAnsi="宋体" w:cs="宋体"/>
                <w:i w:val="0"/>
                <w:iCs w:val="0"/>
                <w:caps w:val="0"/>
                <w:color w:val="000000"/>
                <w:spacing w:val="0"/>
                <w:sz w:val="24"/>
                <w:szCs w:val="24"/>
                <w:highlight w:val="none"/>
                <w:shd w:val="clear" w:color="auto" w:fill="FFFFFF"/>
                <w:lang w:val="en-US" w:eastAsia="zh-CN"/>
              </w:rPr>
              <w:t>合肥市高新区望江西路600号合肥野生动物园。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210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zh-CN"/>
              </w:rPr>
              <w:t>异议处理</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若对</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有异议，可自</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发布</w:t>
            </w:r>
            <w:r>
              <w:rPr>
                <w:rFonts w:hint="eastAsia" w:cs="宋体"/>
                <w:i w:val="0"/>
                <w:iCs w:val="0"/>
                <w:caps w:val="0"/>
                <w:color w:val="000000"/>
                <w:spacing w:val="0"/>
                <w:sz w:val="24"/>
                <w:szCs w:val="24"/>
                <w:highlight w:val="none"/>
                <w:shd w:val="clear" w:color="auto" w:fill="FFFFFF"/>
                <w:lang w:val="en-US" w:eastAsia="zh-CN" w:bidi="zh-CN"/>
              </w:rPr>
              <w:t>之</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日起 3 个工作日内，以书面形式向</w:t>
            </w:r>
            <w:r>
              <w:rPr>
                <w:rFonts w:hint="eastAsia" w:cs="宋体"/>
                <w:i w:val="0"/>
                <w:iCs w:val="0"/>
                <w:caps w:val="0"/>
                <w:color w:val="000000"/>
                <w:spacing w:val="0"/>
                <w:sz w:val="24"/>
                <w:szCs w:val="24"/>
                <w:highlight w:val="none"/>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提出异议，异议材料递交地址：合肥</w:t>
            </w:r>
            <w:r>
              <w:rPr>
                <w:rFonts w:hint="eastAsia" w:cs="宋体"/>
                <w:i w:val="0"/>
                <w:iCs w:val="0"/>
                <w:caps w:val="0"/>
                <w:color w:val="000000"/>
                <w:spacing w:val="0"/>
                <w:sz w:val="24"/>
                <w:szCs w:val="24"/>
                <w:highlight w:val="none"/>
                <w:shd w:val="clear" w:color="auto" w:fill="FFFFFF"/>
                <w:lang w:val="en-US" w:eastAsia="zh-CN" w:bidi="zh-CN"/>
              </w:rPr>
              <w:t>市高新区望江西路600号合肥野生动物园。</w:t>
            </w:r>
          </w:p>
          <w:p>
            <w:pPr>
              <w:pStyle w:val="14"/>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pPr>
              <w:pStyle w:val="14"/>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（一）异议应以书面形式实名提出，书面异议材料应当包括以内容：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1.异议人的名称/姓名、地址、有效联系方式； </w:t>
            </w:r>
          </w:p>
          <w:p>
            <w:pPr>
              <w:pStyle w:val="14"/>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项目名称、项目编号、标的号（如有）； </w:t>
            </w:r>
          </w:p>
          <w:p>
            <w:pPr>
              <w:pStyle w:val="14"/>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被异议人名称/姓名； </w:t>
            </w:r>
          </w:p>
          <w:p>
            <w:pPr>
              <w:pStyle w:val="14"/>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具体的异议事项、基本事实及必要的证明材料； </w:t>
            </w:r>
          </w:p>
          <w:p>
            <w:pPr>
              <w:pStyle w:val="14"/>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明确的请求及主张； </w:t>
            </w:r>
          </w:p>
          <w:p>
            <w:pPr>
              <w:pStyle w:val="14"/>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提起异议的日期。 </w:t>
            </w:r>
          </w:p>
          <w:p>
            <w:pPr>
              <w:pStyle w:val="14"/>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异议人为法人的，应当由法定代表人或其委托代理人（需有委托授权书）签字并加盖公章。 </w:t>
            </w:r>
          </w:p>
          <w:p>
            <w:pPr>
              <w:pStyle w:val="14"/>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异议人需要修改、补充异议材料的，应当在异议期内提交修改或补充材料。 </w:t>
            </w:r>
          </w:p>
          <w:p>
            <w:pPr>
              <w:pStyle w:val="14"/>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（二）有下列情形之一的，不予受理：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提起异议的主体不是所异议项目</w:t>
            </w:r>
            <w:r>
              <w:rPr>
                <w:rFonts w:hint="eastAsia" w:cs="宋体"/>
                <w:i w:val="0"/>
                <w:iCs w:val="0"/>
                <w:caps w:val="0"/>
                <w:color w:val="000000"/>
                <w:spacing w:val="0"/>
                <w:sz w:val="24"/>
                <w:szCs w:val="24"/>
                <w:highlight w:val="none"/>
                <w:shd w:val="clear" w:color="auto" w:fill="FFFFFF"/>
                <w:lang w:val="en-US" w:eastAsia="zh-CN" w:bidi="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的</w:t>
            </w:r>
            <w:r>
              <w:rPr>
                <w:rFonts w:hint="eastAsia" w:cs="宋体"/>
                <w:i w:val="0"/>
                <w:iCs w:val="0"/>
                <w:caps w:val="0"/>
                <w:color w:val="000000"/>
                <w:spacing w:val="0"/>
                <w:sz w:val="24"/>
                <w:szCs w:val="24"/>
                <w:highlight w:val="none"/>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异议材料不完整的； </w:t>
            </w:r>
          </w:p>
          <w:p>
            <w:pPr>
              <w:pStyle w:val="14"/>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异议事项含有主观猜测等内容且未提供有效线索、难以查证的。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9925"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lang w:eastAsia="zh-CN"/>
              </w:rPr>
            </w:pPr>
            <w:r>
              <w:rPr>
                <w:rFonts w:hint="eastAsia" w:cs="宋体"/>
                <w:color w:val="000000"/>
                <w:spacing w:val="-3"/>
                <w:sz w:val="24"/>
                <w:szCs w:val="24"/>
                <w:highlight w:val="none"/>
                <w:lang w:eastAsia="zh-CN"/>
              </w:rPr>
              <w:t>九</w:t>
            </w:r>
            <w:r>
              <w:rPr>
                <w:rFonts w:hint="eastAsia" w:ascii="宋体" w:hAnsi="宋体" w:eastAsia="宋体" w:cs="宋体"/>
                <w:color w:val="000000"/>
                <w:spacing w:val="-3"/>
                <w:sz w:val="24"/>
                <w:szCs w:val="24"/>
                <w:highlight w:val="none"/>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10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z w:val="24"/>
                <w:szCs w:val="24"/>
                <w:highlight w:val="none"/>
              </w:rPr>
              <w:t>现场</w:t>
            </w:r>
            <w:r>
              <w:rPr>
                <w:rFonts w:hint="eastAsia" w:cs="宋体"/>
                <w:color w:val="000000"/>
                <w:sz w:val="24"/>
                <w:szCs w:val="24"/>
                <w:highlight w:val="none"/>
                <w:lang w:eastAsia="zh-CN"/>
              </w:rPr>
              <w:t>实勘</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联系人：王工  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r>
              <w:rPr>
                <w:rFonts w:hint="eastAsia" w:ascii="宋体" w:hAnsi="宋体" w:eastAsia="宋体" w:cs="宋体"/>
                <w:color w:val="000000"/>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9925"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3"/>
                <w:sz w:val="24"/>
                <w:szCs w:val="24"/>
                <w:highlight w:val="none"/>
              </w:rPr>
              <w:t>本项目</w:t>
            </w:r>
            <w:r>
              <w:rPr>
                <w:rFonts w:hint="eastAsia" w:cs="宋体"/>
                <w:color w:val="000000"/>
                <w:spacing w:val="-3"/>
                <w:sz w:val="24"/>
                <w:szCs w:val="24"/>
                <w:highlight w:val="none"/>
                <w:lang w:eastAsia="zh-CN"/>
              </w:rPr>
              <w:t>合作方</w:t>
            </w:r>
            <w:r>
              <w:rPr>
                <w:rFonts w:hint="eastAsia" w:ascii="宋体" w:hAnsi="宋体" w:eastAsia="宋体" w:cs="宋体"/>
                <w:color w:val="000000"/>
                <w:spacing w:val="-3"/>
                <w:sz w:val="24"/>
                <w:szCs w:val="24"/>
                <w:highlight w:val="none"/>
              </w:rPr>
              <w:t>如需咨询，务必首先认真阅读本项目公告，并针对具体条款进行咨询。</w:t>
            </w:r>
            <w:r>
              <w:rPr>
                <w:rFonts w:hint="eastAsia" w:ascii="宋体" w:hAnsi="宋体" w:eastAsia="宋体" w:cs="宋体"/>
                <w:color w:val="000000"/>
                <w:spacing w:val="-9"/>
                <w:sz w:val="24"/>
                <w:szCs w:val="24"/>
                <w:highlight w:val="none"/>
              </w:rPr>
              <w:t>本公告为本项目唯一法定文书，一切解释以本公告为准。</w:t>
            </w:r>
            <w:r>
              <w:rPr>
                <w:rFonts w:hint="eastAsia" w:ascii="宋体" w:hAnsi="宋体" w:eastAsia="宋体" w:cs="宋体"/>
                <w:i w:val="0"/>
                <w:iCs w:val="0"/>
                <w:caps w:val="0"/>
                <w:color w:val="000000"/>
                <w:spacing w:val="0"/>
                <w:sz w:val="24"/>
                <w:szCs w:val="24"/>
                <w:highlight w:val="none"/>
              </w:rPr>
              <w:t>商家需自行评估参与本次招商的预期风险及收益，参与</w:t>
            </w:r>
            <w:r>
              <w:rPr>
                <w:rFonts w:hint="eastAsia" w:cs="宋体"/>
                <w:i w:val="0"/>
                <w:iCs w:val="0"/>
                <w:caps w:val="0"/>
                <w:color w:val="000000"/>
                <w:spacing w:val="0"/>
                <w:sz w:val="24"/>
                <w:szCs w:val="24"/>
                <w:highlight w:val="none"/>
                <w:lang w:eastAsia="zh-CN"/>
              </w:rPr>
              <w:t>合肥文旅博览集团野生动物园管理有限公司</w:t>
            </w:r>
            <w:r>
              <w:rPr>
                <w:rFonts w:hint="eastAsia" w:ascii="宋体" w:hAnsi="宋体" w:eastAsia="宋体" w:cs="宋体"/>
                <w:i w:val="0"/>
                <w:iCs w:val="0"/>
                <w:caps w:val="0"/>
                <w:color w:val="000000"/>
                <w:spacing w:val="0"/>
                <w:sz w:val="24"/>
                <w:szCs w:val="24"/>
                <w:highlight w:val="none"/>
              </w:rPr>
              <w:t>招商视作认可</w:t>
            </w:r>
            <w:r>
              <w:rPr>
                <w:rFonts w:hint="eastAsia" w:cs="宋体"/>
                <w:i w:val="0"/>
                <w:iCs w:val="0"/>
                <w:caps w:val="0"/>
                <w:color w:val="000000"/>
                <w:spacing w:val="0"/>
                <w:sz w:val="24"/>
                <w:szCs w:val="24"/>
                <w:highlight w:val="none"/>
                <w:lang w:eastAsia="zh-CN"/>
              </w:rPr>
              <w:t>合肥文旅博览集团野生动物园管理有限公司</w:t>
            </w:r>
            <w:r>
              <w:rPr>
                <w:rFonts w:hint="eastAsia" w:ascii="宋体" w:hAnsi="宋体" w:eastAsia="宋体" w:cs="宋体"/>
                <w:i w:val="0"/>
                <w:iCs w:val="0"/>
                <w:caps w:val="0"/>
                <w:color w:val="000000"/>
                <w:spacing w:val="0"/>
                <w:sz w:val="24"/>
                <w:szCs w:val="24"/>
                <w:highlight w:val="none"/>
              </w:rPr>
              <w:t>招商相关要求及规定，本招商公告解释权归</w:t>
            </w:r>
            <w:r>
              <w:rPr>
                <w:rFonts w:hint="eastAsia" w:cs="宋体"/>
                <w:i w:val="0"/>
                <w:iCs w:val="0"/>
                <w:caps w:val="0"/>
                <w:color w:val="000000"/>
                <w:spacing w:val="0"/>
                <w:sz w:val="24"/>
                <w:szCs w:val="24"/>
                <w:highlight w:val="none"/>
                <w:lang w:eastAsia="zh-CN"/>
              </w:rPr>
              <w:t>合肥文旅博览集团野生动物园管理有限公司</w:t>
            </w:r>
            <w:r>
              <w:rPr>
                <w:rFonts w:hint="eastAsia" w:ascii="宋体" w:hAnsi="宋体" w:eastAsia="宋体" w:cs="宋体"/>
                <w:i w:val="0"/>
                <w:iCs w:val="0"/>
                <w:caps w:val="0"/>
                <w:color w:val="000000"/>
                <w:spacing w:val="0"/>
                <w:sz w:val="24"/>
                <w:szCs w:val="24"/>
                <w:highlight w:val="none"/>
              </w:rPr>
              <w:t>所有。</w:t>
            </w:r>
          </w:p>
        </w:tc>
      </w:tr>
    </w:tbl>
    <w:p>
      <w:pPr>
        <w:pStyle w:val="3"/>
        <w:jc w:val="left"/>
        <w:rPr>
          <w:rFonts w:hint="eastAsia" w:ascii="方正小标宋简体" w:hAnsi="方正小标宋简体" w:eastAsia="方正小标宋简体" w:cs="方正小标宋简体"/>
          <w:b w:val="0"/>
          <w:bCs w:val="0"/>
          <w:sz w:val="32"/>
          <w:szCs w:val="32"/>
          <w:lang w:eastAsia="zh-CN"/>
        </w:rPr>
      </w:pPr>
      <w:r>
        <w:rPr>
          <w:rFonts w:hint="eastAsia" w:ascii="Arial" w:hAnsi="Arial" w:eastAsia="宋体" w:cs="Arial"/>
          <w:sz w:val="21"/>
          <w:szCs w:val="21"/>
          <w:lang w:eastAsia="zh-CN"/>
        </w:rPr>
        <w:br w:type="page"/>
      </w:r>
      <w:r>
        <w:rPr>
          <w:rFonts w:hint="eastAsia" w:ascii="方正小标宋简体" w:hAnsi="方正小标宋简体" w:eastAsia="方正小标宋简体" w:cs="方正小标宋简体"/>
          <w:b w:val="0"/>
          <w:bCs w:val="0"/>
          <w:sz w:val="32"/>
          <w:szCs w:val="32"/>
          <w:lang w:eastAsia="zh-CN"/>
        </w:rPr>
        <w:t>附件一</w:t>
      </w:r>
      <w:r>
        <w:rPr>
          <w:rFonts w:hint="eastAsia" w:ascii="方正小标宋简体" w:hAnsi="方正小标宋简体" w:eastAsia="方正小标宋简体" w:cs="方正小标宋简体"/>
          <w:b w:val="0"/>
          <w:bCs w:val="0"/>
          <w:sz w:val="32"/>
          <w:szCs w:val="32"/>
          <w:lang w:val="en-US" w:eastAsia="zh-CN"/>
        </w:rPr>
        <w:t>：</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授权书</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本授权书声明</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公司授权</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授权代表姓名、职务，手机号码）代表本公司参加合肥文旅博览集团野生动物园管理有限公司</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u w:val="single"/>
          <w:lang w:val="en-US" w:eastAsia="zh-CN"/>
        </w:rPr>
        <w:t xml:space="preserve">  </w:t>
      </w:r>
      <w:r>
        <w:rPr>
          <w:rFonts w:hint="eastAsia" w:ascii="宋体" w:hAnsi="宋体" w:eastAsia="宋体" w:cs="宋体"/>
          <w:color w:val="000000"/>
          <w:sz w:val="24"/>
          <w:szCs w:val="28"/>
          <w:u w:val="none"/>
          <w:lang w:eastAsia="zh-CN"/>
        </w:rPr>
        <w:t>项目</w:t>
      </w:r>
      <w:r>
        <w:rPr>
          <w:rFonts w:hint="eastAsia" w:ascii="宋体" w:hAnsi="宋体" w:eastAsia="宋体" w:cs="宋体"/>
          <w:bCs/>
          <w:color w:val="000000"/>
          <w:sz w:val="24"/>
          <w:szCs w:val="28"/>
        </w:rPr>
        <w:t>招</w:t>
      </w:r>
      <w:r>
        <w:rPr>
          <w:rFonts w:hint="eastAsia" w:ascii="宋体" w:hAnsi="宋体" w:eastAsia="宋体" w:cs="宋体"/>
          <w:bCs/>
          <w:color w:val="000000"/>
          <w:sz w:val="24"/>
          <w:szCs w:val="28"/>
          <w:lang w:eastAsia="zh-CN"/>
        </w:rPr>
        <w:t>商</w:t>
      </w:r>
      <w:r>
        <w:rPr>
          <w:rFonts w:hint="eastAsia" w:ascii="宋体" w:hAnsi="宋体" w:eastAsia="宋体" w:cs="宋体"/>
          <w:color w:val="000000"/>
          <w:sz w:val="24"/>
          <w:szCs w:val="28"/>
        </w:rPr>
        <w:t>，全权代表本公司处理</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过程的一切事宜，包括但不限于：投标、参与开标、谈判、签约等。</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授权代表在</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过程中所签署的一切文件和处理与之有关的一切事务，本公司均予以认可并对此承担责任。</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授权代表无转委托权。特此授权。</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本授权书自出具之日起生效。</w:t>
      </w:r>
    </w:p>
    <w:p>
      <w:pPr>
        <w:spacing w:line="360" w:lineRule="auto"/>
        <w:rPr>
          <w:rFonts w:hint="eastAsia" w:ascii="宋体" w:hAnsi="宋体" w:eastAsia="宋体" w:cs="宋体"/>
          <w:color w:val="000000"/>
          <w:sz w:val="24"/>
          <w:szCs w:val="28"/>
        </w:rPr>
      </w:pPr>
    </w:p>
    <w:p>
      <w:pPr>
        <w:spacing w:line="360" w:lineRule="auto"/>
        <w:ind w:firstLine="645"/>
        <w:rPr>
          <w:rFonts w:hint="eastAsia" w:ascii="宋体" w:hAnsi="宋体" w:eastAsia="宋体" w:cs="宋体"/>
          <w:color w:val="000000"/>
          <w:sz w:val="24"/>
          <w:szCs w:val="28"/>
        </w:rPr>
      </w:pPr>
      <w:r>
        <w:rPr>
          <w:rFonts w:hint="eastAsia" w:ascii="宋体" w:hAnsi="宋体" w:eastAsia="宋体" w:cs="宋体"/>
          <w:color w:val="000000"/>
          <w:sz w:val="24"/>
          <w:szCs w:val="28"/>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3" name="组合 3"/>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A0GJkXZAAAACQEAAA8AAAAAAAAAAQAgAAAAIgAA&#10;AGRycy9kb3ducmV2LnhtbFBLAQIUABQAAAAIAIdO4kBqKwJX6wIAAMkIAAAOAAAAAAAAAAEAIAAA&#10;ACgBAABkcnMvZTJvRG9jLnhtbFBLBQYAAAAABgAGAFkBAACF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v:textbox>
                </v:roundrect>
              </v:group>
            </w:pict>
          </mc:Fallback>
        </mc:AlternateContent>
      </w:r>
      <w:r>
        <w:rPr>
          <w:rFonts w:hint="eastAsia" w:ascii="宋体" w:hAnsi="宋体" w:eastAsia="宋体" w:cs="宋体"/>
          <w:color w:val="000000"/>
          <w:sz w:val="24"/>
          <w:szCs w:val="28"/>
        </w:rPr>
        <w:t>特此声明。</w:t>
      </w:r>
    </w:p>
    <w:p>
      <w:pPr>
        <w:pStyle w:val="2"/>
        <w:rPr>
          <w:rFonts w:hint="eastAsia" w:ascii="宋体" w:hAnsi="宋体" w:eastAsia="宋体" w:cs="宋体"/>
          <w:color w:val="000000"/>
          <w:sz w:val="24"/>
          <w:szCs w:val="28"/>
        </w:rPr>
      </w:pPr>
    </w:p>
    <w:p>
      <w:pPr>
        <w:rPr>
          <w:rFonts w:hint="eastAsia" w:ascii="宋体" w:hAnsi="宋体" w:eastAsia="宋体" w:cs="宋体"/>
          <w:color w:val="000000"/>
          <w:sz w:val="24"/>
          <w:szCs w:val="28"/>
        </w:rPr>
      </w:pPr>
    </w:p>
    <w:p>
      <w:pPr>
        <w:pStyle w:val="2"/>
        <w:rPr>
          <w:rFonts w:hint="eastAsia" w:ascii="宋体" w:hAnsi="宋体" w:eastAsia="宋体" w:cs="宋体"/>
        </w:rPr>
      </w:pPr>
    </w:p>
    <w:p>
      <w:pPr>
        <w:pStyle w:val="2"/>
        <w:rPr>
          <w:rFonts w:hint="eastAsia" w:ascii="宋体" w:hAnsi="宋体" w:eastAsia="宋体" w:cs="宋体"/>
          <w:color w:val="000000"/>
          <w:sz w:val="24"/>
          <w:szCs w:val="28"/>
        </w:rPr>
      </w:pPr>
    </w:p>
    <w:p>
      <w:pPr>
        <w:rPr>
          <w:rFonts w:hint="eastAsia" w:ascii="宋体" w:hAnsi="宋体" w:eastAsia="宋体" w:cs="宋体"/>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b/>
          <w:bCs/>
          <w:color w:val="000000"/>
          <w:sz w:val="24"/>
          <w:szCs w:val="28"/>
        </w:rPr>
      </w:pPr>
      <w:r>
        <w:rPr>
          <w:rFonts w:hint="eastAsia" w:ascii="宋体" w:hAnsi="宋体" w:eastAsia="宋体" w:cs="宋体"/>
          <w:b/>
          <w:bCs/>
          <w:color w:val="000000"/>
          <w:sz w:val="24"/>
          <w:szCs w:val="28"/>
          <w:lang w:eastAsia="zh-CN"/>
        </w:rPr>
        <w:t>合作方</w:t>
      </w:r>
      <w:r>
        <w:rPr>
          <w:rFonts w:hint="eastAsia" w:ascii="宋体" w:hAnsi="宋体" w:eastAsia="宋体" w:cs="宋体"/>
          <w:b/>
          <w:bCs/>
          <w:color w:val="000000"/>
          <w:sz w:val="24"/>
          <w:szCs w:val="28"/>
        </w:rPr>
        <w:t>(公章)：</w:t>
      </w:r>
    </w:p>
    <w:p>
      <w:p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 xml:space="preserve">日        期： </w:t>
      </w:r>
    </w:p>
    <w:p>
      <w:pPr>
        <w:rPr>
          <w:rFonts w:hint="eastAsia" w:ascii="宋体" w:hAnsi="宋体" w:eastAsia="宋体" w:cs="宋体"/>
          <w:color w:val="000000"/>
          <w:sz w:val="28"/>
          <w:szCs w:val="28"/>
        </w:rPr>
      </w:pP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注：</w:t>
      </w: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1.本项目只允许有唯一的</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授权代表，投标文件中提供授权代表身份证</w:t>
      </w:r>
      <w:r>
        <w:rPr>
          <w:rFonts w:hint="eastAsia" w:hAnsi="宋体" w:eastAsia="宋体" w:cs="宋体"/>
          <w:color w:val="000000"/>
          <w:sz w:val="24"/>
          <w:lang w:eastAsia="zh-CN"/>
        </w:rPr>
        <w:t>复印</w:t>
      </w:r>
      <w:r>
        <w:rPr>
          <w:rFonts w:hint="eastAsia" w:ascii="宋体" w:hAnsi="宋体" w:eastAsia="宋体" w:cs="宋体"/>
          <w:color w:val="000000"/>
          <w:sz w:val="24"/>
        </w:rPr>
        <w:t>件</w:t>
      </w:r>
      <w:r>
        <w:rPr>
          <w:rFonts w:hint="eastAsia" w:ascii="宋体" w:hAnsi="宋体" w:eastAsia="宋体" w:cs="宋体"/>
          <w:color w:val="000000"/>
          <w:sz w:val="24"/>
          <w:szCs w:val="28"/>
        </w:rPr>
        <w:t>。</w:t>
      </w:r>
    </w:p>
    <w:p>
      <w:pPr>
        <w:pStyle w:val="6"/>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4"/>
          <w:szCs w:val="28"/>
        </w:rPr>
        <w:t>2.法定代表人参加投标的无需此件，</w:t>
      </w:r>
      <w:r>
        <w:rPr>
          <w:rFonts w:hint="eastAsia" w:ascii="宋体" w:hAnsi="宋体" w:eastAsia="宋体" w:cs="宋体"/>
          <w:color w:val="000000"/>
          <w:sz w:val="24"/>
        </w:rPr>
        <w:t>但投标文件中须提供身份证</w:t>
      </w:r>
      <w:r>
        <w:rPr>
          <w:rFonts w:hint="eastAsia" w:hAnsi="宋体" w:eastAsia="宋体" w:cs="宋体"/>
          <w:color w:val="000000"/>
          <w:sz w:val="24"/>
          <w:lang w:eastAsia="zh-CN"/>
        </w:rPr>
        <w:t>复印</w:t>
      </w:r>
      <w:r>
        <w:rPr>
          <w:rFonts w:hint="eastAsia" w:ascii="宋体" w:hAnsi="宋体" w:eastAsia="宋体" w:cs="宋体"/>
          <w:color w:val="000000"/>
          <w:sz w:val="24"/>
        </w:rPr>
        <w:t>件。</w:t>
      </w:r>
    </w:p>
    <w:p>
      <w:pPr>
        <w:pStyle w:val="3"/>
        <w:jc w:val="left"/>
        <w:rPr>
          <w:rFonts w:hint="eastAsia" w:ascii="宋体" w:hAnsi="宋体" w:eastAsia="宋体" w:cs="宋体"/>
          <w:color w:val="000000"/>
          <w:sz w:val="28"/>
          <w:szCs w:val="28"/>
        </w:rPr>
      </w:pPr>
      <w:r>
        <w:rPr>
          <w:rFonts w:hint="eastAsia" w:hAnsi="宋体" w:cs="宋体"/>
          <w:color w:val="000000"/>
          <w:sz w:val="28"/>
          <w:szCs w:val="28"/>
        </w:rPr>
        <w:br w:type="page"/>
      </w:r>
      <w:r>
        <w:rPr>
          <w:rFonts w:hint="eastAsia" w:ascii="宋体" w:hAnsi="宋体" w:eastAsia="宋体" w:cs="宋体"/>
          <w:color w:val="000000"/>
          <w:sz w:val="32"/>
          <w:szCs w:val="32"/>
          <w:lang w:eastAsia="zh-CN"/>
        </w:rPr>
        <w:t>附件</w:t>
      </w:r>
      <w:r>
        <w:rPr>
          <w:rFonts w:hint="eastAsia" w:hAnsi="宋体" w:eastAsia="宋体" w:cs="宋体"/>
          <w:color w:val="000000"/>
          <w:sz w:val="32"/>
          <w:szCs w:val="32"/>
          <w:lang w:eastAsia="zh-CN"/>
        </w:rPr>
        <w:t>二</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28"/>
          <w:szCs w:val="28"/>
          <w:lang w:val="en-US" w:eastAsia="zh-CN"/>
        </w:rPr>
        <w:t xml:space="preserve">                   </w:t>
      </w:r>
      <w:r>
        <w:rPr>
          <w:rFonts w:hint="eastAsia" w:hAnsi="宋体" w:eastAsia="宋体" w:cs="宋体"/>
          <w:color w:val="000000"/>
          <w:sz w:val="28"/>
          <w:szCs w:val="28"/>
          <w:lang w:eastAsia="zh-CN"/>
        </w:rPr>
        <w:t>合作方</w:t>
      </w:r>
      <w:r>
        <w:rPr>
          <w:rFonts w:hint="eastAsia" w:ascii="宋体" w:hAnsi="宋体" w:eastAsia="宋体" w:cs="宋体"/>
          <w:color w:val="000000"/>
          <w:sz w:val="28"/>
          <w:szCs w:val="28"/>
        </w:rPr>
        <w:t>信用承诺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我公司申明，我公司无以下不良信用记录情形：</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1.公司被人民法院列入失信被执行人；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2.公司、公司法定代表人被人民检察院列入行贿犯罪档案；</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3.公司被工商行政管理部门列入企业经营异常名录；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4.公司被税务部门列入重大税收违法案件当事人名单的；</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5. 参加本次投标活动前三年内，在服务活动中没有重大违法及安全事故记录。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eastAsia="宋体" w:cs="宋体"/>
          <w:b/>
          <w:color w:val="000000"/>
          <w:sz w:val="24"/>
          <w:szCs w:val="24"/>
        </w:rPr>
      </w:pPr>
    </w:p>
    <w:p>
      <w:pPr>
        <w:spacing w:line="360" w:lineRule="auto"/>
        <w:ind w:firstLine="63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合作方</w:t>
      </w:r>
      <w:r>
        <w:rPr>
          <w:rFonts w:hint="eastAsia" w:ascii="宋体" w:hAnsi="宋体" w:eastAsia="宋体" w:cs="宋体"/>
          <w:b/>
          <w:color w:val="000000"/>
          <w:sz w:val="24"/>
          <w:szCs w:val="24"/>
        </w:rPr>
        <w:t>（公章）：</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lang w:val="en-US" w:eastAsia="zh-CN"/>
        </w:rPr>
      </w:pPr>
      <w:r>
        <w:rPr>
          <w:rFonts w:hint="eastAsia" w:ascii="宋体" w:hAnsi="宋体" w:eastAsia="宋体" w:cs="宋体"/>
          <w:b/>
          <w:bCs/>
          <w:color w:val="000000"/>
          <w:kern w:val="2"/>
          <w:sz w:val="32"/>
          <w:szCs w:val="32"/>
          <w:lang w:val="en-US" w:eastAsia="zh-CN" w:bidi="ar-SA"/>
        </w:rPr>
        <w:t xml:space="preserve">附件三： </w:t>
      </w:r>
      <w:r>
        <w:rPr>
          <w:rFonts w:hint="eastAsia" w:ascii="宋体" w:hAnsi="宋体" w:eastAsia="宋体" w:cs="宋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rPr>
      </w:pPr>
      <w:r>
        <w:rPr>
          <w:rFonts w:hint="eastAsia" w:ascii="黑体" w:hAnsi="黑体" w:eastAsia="黑体"/>
          <w:sz w:val="36"/>
          <w:szCs w:val="36"/>
        </w:rPr>
        <w:t>信用查询截图</w:t>
      </w:r>
    </w:p>
    <w:p>
      <w:pPr>
        <w:rPr>
          <w:rFonts w:hint="eastAsia"/>
        </w:rPr>
      </w:pPr>
      <w:r>
        <w:rPr>
          <w:rFonts w:hint="eastAsia"/>
        </w:rPr>
        <w:t>1</w:t>
      </w:r>
      <w:r>
        <w:t>.</w:t>
      </w:r>
      <w:r>
        <w:rPr>
          <w:rFonts w:hint="eastAsia"/>
        </w:rPr>
        <w:t xml:space="preserve"> 国家企业信用信息公示系统</w:t>
      </w:r>
    </w:p>
    <w:p/>
    <w:p/>
    <w:p/>
    <w:p/>
    <w:p/>
    <w:p/>
    <w:p/>
    <w:p/>
    <w:p/>
    <w:p/>
    <w:p/>
    <w:p/>
    <w:p/>
    <w:p/>
    <w:p>
      <w:pPr>
        <w:rPr>
          <w:rFonts w:hint="eastAsia"/>
        </w:rPr>
      </w:pPr>
    </w:p>
    <w:p>
      <w:pPr>
        <w:rPr>
          <w:rFonts w:hint="eastAsia"/>
        </w:rPr>
      </w:pPr>
    </w:p>
    <w:p/>
    <w:p/>
    <w:p/>
    <w:p>
      <w:pPr>
        <w:rPr>
          <w:rFonts w:hint="eastAsia"/>
        </w:rPr>
      </w:pPr>
      <w:r>
        <w:rPr>
          <w:rFonts w:hint="eastAsia"/>
        </w:rPr>
        <w:t>2</w:t>
      </w:r>
      <w:r>
        <w:t>.</w:t>
      </w:r>
      <w:r>
        <w:rPr>
          <w:rFonts w:hint="eastAsia"/>
        </w:rPr>
        <w:t xml:space="preserve"> 信用中国</w:t>
      </w:r>
    </w:p>
    <w:p/>
    <w:p/>
    <w:p/>
    <w:p/>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keepNext/>
        <w:keepLines/>
        <w:spacing w:before="260" w:after="260" w:line="416" w:lineRule="auto"/>
        <w:ind w:firstLine="562" w:firstLineChars="200"/>
        <w:jc w:val="both"/>
        <w:outlineLvl w:val="2"/>
        <w:rPr>
          <w:rFonts w:hint="eastAsia" w:ascii="宋体" w:hAnsi="宋体" w:eastAsia="宋体" w:cs="宋体"/>
          <w:b/>
          <w:bCs/>
          <w:color w:val="000000"/>
          <w:sz w:val="28"/>
          <w:szCs w:val="28"/>
        </w:rPr>
      </w:pPr>
      <w:r>
        <w:rPr>
          <w:rFonts w:hint="eastAsia" w:ascii="宋体" w:hAnsi="宋体" w:eastAsia="宋体" w:cs="宋体"/>
          <w:b/>
          <w:bCs/>
          <w:sz w:val="28"/>
          <w:szCs w:val="28"/>
          <w:lang w:val="en-US" w:eastAsia="zh-CN"/>
        </w:rPr>
        <w:t xml:space="preserve">附件四：                      </w:t>
      </w:r>
      <w:r>
        <w:rPr>
          <w:rFonts w:hint="eastAsia" w:ascii="宋体" w:hAnsi="宋体" w:eastAsia="宋体" w:cs="宋体"/>
          <w:b/>
          <w:bCs/>
          <w:color w:val="000000"/>
          <w:sz w:val="28"/>
          <w:szCs w:val="28"/>
          <w:lang w:eastAsia="zh-CN"/>
        </w:rPr>
        <w:t>报价</w:t>
      </w:r>
      <w:r>
        <w:rPr>
          <w:rFonts w:hint="eastAsia" w:ascii="宋体" w:hAnsi="宋体" w:eastAsia="宋体" w:cs="宋体"/>
          <w:b/>
          <w:bCs/>
          <w:color w:val="000000"/>
          <w:sz w:val="28"/>
          <w:szCs w:val="28"/>
        </w:rPr>
        <w:t>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rPr>
              <w:t>项 目 名 称</w:t>
            </w:r>
          </w:p>
        </w:tc>
        <w:tc>
          <w:tcPr>
            <w:tcW w:w="6876" w:type="dxa"/>
            <w:tcBorders>
              <w:top w:val="single" w:color="auto" w:sz="4" w:space="0"/>
              <w:bottom w:val="single" w:color="auto" w:sz="4" w:space="0"/>
              <w:right w:val="single" w:color="auto" w:sz="4" w:space="0"/>
            </w:tcBorders>
            <w:noWrap w:val="0"/>
            <w:vAlign w:val="center"/>
          </w:tcPr>
          <w:p>
            <w:pPr>
              <w:spacing w:line="360" w:lineRule="exact"/>
              <w:ind w:firstLine="480" w:firstLineChars="200"/>
              <w:jc w:val="center"/>
              <w:rPr>
                <w:rFonts w:hint="eastAsia" w:ascii="宋体" w:hAnsi="宋体" w:eastAsia="宋体" w:cs="宋体"/>
                <w:bCs/>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全称</w:t>
            </w:r>
          </w:p>
        </w:tc>
        <w:tc>
          <w:tcPr>
            <w:tcW w:w="6876" w:type="dxa"/>
            <w:tcBorders>
              <w:top w:val="nil"/>
            </w:tcBorders>
            <w:noWrap w:val="0"/>
            <w:vAlign w:val="center"/>
          </w:tcPr>
          <w:p>
            <w:pPr>
              <w:spacing w:line="360" w:lineRule="auto"/>
              <w:ind w:firstLine="480" w:firstLineChars="200"/>
              <w:rPr>
                <w:rFonts w:hint="eastAsia" w:ascii="宋体" w:hAnsi="宋体" w:eastAsia="宋体" w:cs="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保底</w:t>
            </w:r>
            <w:r>
              <w:rPr>
                <w:rFonts w:hint="eastAsia" w:ascii="宋体" w:hAnsi="宋体" w:eastAsia="宋体" w:cs="宋体"/>
                <w:b/>
                <w:color w:val="000000"/>
                <w:sz w:val="24"/>
                <w:szCs w:val="22"/>
                <w:lang w:val="en-US" w:eastAsia="zh-CN"/>
              </w:rPr>
              <w:t>报</w:t>
            </w:r>
            <w:r>
              <w:rPr>
                <w:rFonts w:hint="eastAsia" w:ascii="宋体" w:hAnsi="宋体" w:eastAsia="宋体" w:cs="宋体"/>
                <w:b/>
                <w:color w:val="000000"/>
                <w:sz w:val="24"/>
                <w:szCs w:val="22"/>
                <w:lang w:eastAsia="zh-CN"/>
              </w:rPr>
              <w:t>价</w:t>
            </w:r>
          </w:p>
        </w:tc>
        <w:tc>
          <w:tcPr>
            <w:tcW w:w="6876" w:type="dxa"/>
            <w:tcBorders>
              <w:top w:val="nil"/>
            </w:tcBorders>
            <w:noWrap w:val="0"/>
            <w:vAlign w:val="center"/>
          </w:tcPr>
          <w:p>
            <w:pPr>
              <w:spacing w:line="360" w:lineRule="auto"/>
              <w:ind w:right="-670" w:firstLine="480" w:firstLineChars="200"/>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none"/>
              </w:rPr>
              <w:t xml:space="preserve"> </w:t>
            </w:r>
            <w:r>
              <w:rPr>
                <w:rFonts w:hint="eastAsia" w:ascii="宋体" w:hAnsi="宋体" w:eastAsia="宋体" w:cs="宋体"/>
                <w:color w:val="000000"/>
                <w:sz w:val="24"/>
                <w:szCs w:val="22"/>
                <w:u w:val="none"/>
                <w:lang w:val="en-US" w:eastAsia="zh-CN"/>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pPr>
              <w:spacing w:line="360" w:lineRule="auto"/>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分成比例</w:t>
            </w:r>
          </w:p>
        </w:tc>
        <w:tc>
          <w:tcPr>
            <w:tcW w:w="6876" w:type="dxa"/>
            <w:tcBorders>
              <w:top w:val="nil"/>
            </w:tcBorders>
            <w:noWrap w:val="0"/>
            <w:vAlign w:val="center"/>
          </w:tcPr>
          <w:p>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含税销售额的</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lang w:val="en-US" w:eastAsia="zh-CN"/>
              </w:rPr>
              <w:t>%</w:t>
            </w:r>
          </w:p>
        </w:tc>
      </w:tr>
    </w:tbl>
    <w:p>
      <w:pPr>
        <w:rPr>
          <w:rFonts w:hint="eastAsia" w:ascii="宋体" w:hAnsi="宋体" w:eastAsia="宋体" w:cs="宋体"/>
          <w:b/>
          <w:color w:val="000000"/>
          <w:sz w:val="24"/>
          <w:szCs w:val="22"/>
        </w:r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 xml:space="preserve">(公章)：      </w:t>
      </w:r>
    </w:p>
    <w:p>
      <w:pPr>
        <w:rPr>
          <w:rFonts w:hint="eastAsia" w:ascii="宋体" w:hAnsi="宋体" w:eastAsia="宋体" w:cs="宋体"/>
          <w:b/>
          <w:color w:val="000000"/>
          <w:sz w:val="24"/>
          <w:szCs w:val="22"/>
        </w:rPr>
      </w:pPr>
      <w:r>
        <w:rPr>
          <w:rFonts w:hint="eastAsia" w:ascii="宋体" w:hAnsi="宋体" w:eastAsia="宋体" w:cs="宋体"/>
          <w:b/>
          <w:color w:val="000000"/>
          <w:sz w:val="24"/>
          <w:szCs w:val="22"/>
        </w:rPr>
        <w:br w:type="page"/>
      </w:r>
    </w:p>
    <w:p>
      <w:pPr>
        <w:jc w:val="left"/>
        <w:rPr>
          <w:rFonts w:hint="eastAsia" w:ascii="宋体" w:hAnsi="宋体" w:eastAsia="宋体" w:cs="宋体"/>
          <w:b/>
          <w:color w:val="000000"/>
          <w:sz w:val="24"/>
          <w:szCs w:val="22"/>
        </w:rPr>
      </w:pPr>
      <w:r>
        <w:rPr>
          <w:rFonts w:hint="eastAsia" w:ascii="宋体" w:hAnsi="宋体" w:eastAsia="宋体" w:cs="宋体"/>
          <w:b/>
          <w:bCs/>
          <w:sz w:val="28"/>
          <w:szCs w:val="28"/>
          <w:lang w:val="en-US" w:eastAsia="zh-CN"/>
        </w:rPr>
        <w:t xml:space="preserve">附件五： </w:t>
      </w:r>
      <w:r>
        <w:rPr>
          <w:rFonts w:hint="eastAsia" w:ascii="宋体" w:hAnsi="宋体" w:eastAsia="宋体" w:cs="宋体"/>
          <w:b/>
          <w:color w:val="000000"/>
          <w:sz w:val="24"/>
          <w:szCs w:val="22"/>
        </w:rPr>
        <w:t xml:space="preserve">    </w:t>
      </w:r>
    </w:p>
    <w:p>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宋体" w:hAnsi="宋体" w:eastAsia="宋体" w:cs="宋体"/>
          <w:b/>
          <w:color w:val="000000"/>
          <w:sz w:val="24"/>
          <w:szCs w:val="22"/>
        </w:rPr>
        <w:t xml:space="preserve">  </w:t>
      </w:r>
      <w:r>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t>合肥野生动物园双峰骆驼照相项目合作</w:t>
      </w: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经营合同</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合肥文旅博览集团野生动物园管理有限公司</w:t>
      </w:r>
    </w:p>
    <w:p>
      <w:pP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w:t>
      </w:r>
    </w:p>
    <w:p>
      <w:pPr>
        <w:numPr>
          <w:ilvl w:val="0"/>
          <w:numId w:val="4"/>
        </w:num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乙双方根据《中华人民共和国民法典》规定，在协商一致的基础上，就甲、乙双方在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合肥野生动物园内合作经营双峰骆驼照相项目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达成本合同。</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一、基本合作内容</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名称：合肥野生动物园双峰骆驼照相项目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2、经营范围：双峰骆驼照相</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rPr>
        <w:t>所在位置以及</w:t>
      </w:r>
      <w:r>
        <w:rPr>
          <w:rFonts w:hint="eastAsia" w:ascii="仿宋_GB2312" w:hAnsi="仿宋_GB2312" w:eastAsia="仿宋_GB2312" w:cs="仿宋_GB2312"/>
          <w:sz w:val="28"/>
          <w:szCs w:val="28"/>
          <w:highlight w:val="none"/>
          <w:lang w:eastAsia="zh-CN"/>
        </w:rPr>
        <w:t>场地</w:t>
      </w:r>
      <w:r>
        <w:rPr>
          <w:rFonts w:hint="eastAsia" w:ascii="仿宋_GB2312" w:hAnsi="仿宋_GB2312" w:eastAsia="仿宋_GB2312" w:cs="仿宋_GB2312"/>
          <w:sz w:val="28"/>
          <w:szCs w:val="28"/>
          <w:highlight w:val="none"/>
        </w:rPr>
        <w:t>基本信息：合肥市高新区望江西路600号合肥野生动物园</w:t>
      </w:r>
      <w:r>
        <w:rPr>
          <w:rFonts w:hint="eastAsia" w:ascii="仿宋_GB2312" w:hAnsi="仿宋_GB2312" w:eastAsia="仿宋_GB2312" w:cs="仿宋_GB2312"/>
          <w:sz w:val="28"/>
          <w:szCs w:val="28"/>
          <w:highlight w:val="none"/>
          <w:lang w:eastAsia="zh-CN"/>
        </w:rPr>
        <w:t>内救护中心附近</w:t>
      </w:r>
      <w:r>
        <w:rPr>
          <w:rFonts w:hint="eastAsia" w:ascii="仿宋_GB2312" w:hAnsi="仿宋_GB2312" w:eastAsia="仿宋_GB2312" w:cs="仿宋_GB2312"/>
          <w:sz w:val="28"/>
          <w:szCs w:val="28"/>
          <w:highlight w:val="none"/>
        </w:rPr>
        <w:t>，面积约</w:t>
      </w:r>
      <w:r>
        <w:rPr>
          <w:rFonts w:hint="eastAsia" w:ascii="仿宋_GB2312" w:hAnsi="仿宋_GB2312" w:eastAsia="仿宋_GB2312" w:cs="仿宋_GB2312"/>
          <w:sz w:val="28"/>
          <w:szCs w:val="28"/>
          <w:highlight w:val="none"/>
          <w:lang w:val="en-US" w:eastAsia="zh-CN"/>
        </w:rPr>
        <w:t>67.91</w:t>
      </w:r>
      <w:r>
        <w:rPr>
          <w:rFonts w:hint="eastAsia" w:ascii="仿宋_GB2312" w:hAnsi="仿宋_GB2312" w:eastAsia="仿宋_GB2312" w:cs="仿宋_GB2312"/>
          <w:sz w:val="28"/>
          <w:szCs w:val="28"/>
          <w:highlight w:val="none"/>
        </w:rPr>
        <w:t>平方米。</w:t>
      </w:r>
    </w:p>
    <w:p>
      <w:pPr>
        <w:ind w:firstLine="560" w:firstLineChars="200"/>
        <w:rPr>
          <w:rFonts w:hint="default"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合作期限：</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，在合作期每满</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1年时对收益分成款进行结算，甲方收益分成未达保底价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乙方提供不少于2头双峰骆驼供游客参观拍照</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w:t>
      </w:r>
    </w:p>
    <w:p>
      <w:pPr>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6、履约保证金为人民币：</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肆仟柒佰元整 （¥ 4700元）</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二、甲方权利义务</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1、甲方对乙方进行运营管理。甲方有权对乙方的运营管理情况进行监督和了解。</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sz w:val="28"/>
          <w:szCs w:val="28"/>
          <w:highlight w:val="none"/>
        </w:rPr>
        <w:t>甲方负责</w:t>
      </w:r>
      <w:r>
        <w:rPr>
          <w:rFonts w:hint="eastAsia" w:ascii="仿宋_GB2312" w:hAnsi="仿宋_GB2312" w:eastAsia="仿宋_GB2312" w:cs="仿宋_GB2312"/>
          <w:sz w:val="28"/>
          <w:szCs w:val="28"/>
          <w:highlight w:val="none"/>
          <w:lang w:eastAsia="zh-CN"/>
        </w:rPr>
        <w:t>提供合作经营的场地</w:t>
      </w:r>
      <w:r>
        <w:rPr>
          <w:rFonts w:hint="eastAsia" w:ascii="仿宋_GB2312" w:hAnsi="仿宋_GB2312" w:eastAsia="仿宋_GB2312" w:cs="仿宋_GB2312"/>
          <w:sz w:val="28"/>
          <w:szCs w:val="28"/>
          <w:highlight w:val="none"/>
        </w:rPr>
        <w:t>。</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的营收款项统一进入甲方指定的账户。</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正常经营。</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lang w:eastAsia="zh-CN"/>
          <w14:textFill>
            <w14:solidFill>
              <w14:schemeClr w14:val="tx1"/>
            </w14:solidFill>
          </w14:textFill>
        </w:rPr>
        <w:t>。</w:t>
      </w:r>
    </w:p>
    <w:p>
      <w:pPr>
        <w:spacing w:line="360" w:lineRule="auto"/>
        <w:textAlignment w:val="baseline"/>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 、</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经营与日常管理</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已经发生的损害双方合作基础、甲方权益、公共利益以及违法违规行为进行制止和要求纠正。</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的安全保卫工作，乙方存放在该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内的财产安全。</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需结合甲方统一商业规划要求，对场地自行装修、装潢时，装修、装潢方案须经甲方同意后方可实行。场地的装修、装潢费用及合同期内场地的维修费用全部由乙方自行承担，未经甲方允许，不得在场地内私搭乱建，不得破坏周边绿化。</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的消防安全工作，同时自行承担因消防问题引起的一切不利后果。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、乙方应配合甲方做好公共部位、公共场所的消防、安全和环境秩序工作。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留不明身份者。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、乙方应当承担对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内人员（包括但不限于消费、客户、店员）的安全保障义务，并自行承担相应法律责任。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highlight w:val="none"/>
          <w14:textFill>
            <w14:solidFill>
              <w14:schemeClr w14:val="tx1"/>
            </w14:solidFill>
          </w14:textFill>
        </w:rPr>
        <w:t>所提供的服务，应负责起售后或善后工作。</w:t>
      </w:r>
    </w:p>
    <w:p>
      <w:pPr>
        <w:spacing w:line="360" w:lineRule="auto"/>
        <w:ind w:firstLine="435"/>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、对于在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pPr>
        <w:spacing w:line="360" w:lineRule="auto"/>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合作</w:t>
      </w:r>
      <w:r>
        <w:rPr>
          <w:rFonts w:hint="eastAsia" w:ascii="仿宋_GB2312" w:hAnsi="仿宋_GB2312" w:eastAsia="仿宋_GB2312" w:cs="仿宋_GB2312"/>
          <w:color w:val="auto"/>
          <w:sz w:val="28"/>
          <w:szCs w:val="28"/>
          <w:highlight w:val="none"/>
        </w:rPr>
        <w:t>期间发生的水、电、网络等公共设施和公共能源费用由乙方缴纳。</w:t>
      </w:r>
      <w:r>
        <w:rPr>
          <w:rFonts w:hint="eastAsia" w:ascii="仿宋_GB2312" w:hAnsi="仿宋_GB2312" w:eastAsia="仿宋_GB2312" w:cs="仿宋_GB2312"/>
          <w:color w:val="auto"/>
          <w:sz w:val="28"/>
          <w:szCs w:val="28"/>
          <w:highlight w:val="none"/>
          <w:lang w:eastAsia="zh-CN"/>
        </w:rPr>
        <w:t>物业费为</w:t>
      </w:r>
      <w:r>
        <w:rPr>
          <w:rFonts w:hint="eastAsia" w:ascii="仿宋_GB2312" w:hAnsi="仿宋_GB2312" w:eastAsia="仿宋_GB2312" w:cs="仿宋_GB2312"/>
          <w:color w:val="auto"/>
          <w:sz w:val="28"/>
          <w:szCs w:val="28"/>
          <w:highlight w:val="none"/>
          <w:lang w:val="en-US" w:eastAsia="zh-CN"/>
        </w:rPr>
        <w:t>2000元/年，在合同签订后4个月内支付。</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、乙方不得绕过甲方直接对外收取销售款。</w:t>
      </w:r>
    </w:p>
    <w:p>
      <w:pPr>
        <w:spacing w:line="360" w:lineRule="auto"/>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highlight w:val="none"/>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合作经营场地</w:t>
      </w:r>
      <w:r>
        <w:rPr>
          <w:rFonts w:hint="eastAsia" w:ascii="仿宋_GB2312" w:hAnsi="仿宋_GB2312" w:eastAsia="仿宋_GB2312" w:cs="仿宋_GB2312"/>
          <w:color w:val="auto"/>
          <w:sz w:val="28"/>
          <w:szCs w:val="28"/>
          <w:highlight w:val="none"/>
        </w:rPr>
        <w:t>的收银手续费由乙方承担。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工作人员</w:t>
      </w:r>
      <w:r>
        <w:rPr>
          <w:rFonts w:hint="eastAsia" w:ascii="仿宋_GB2312" w:hAnsi="仿宋_GB2312" w:eastAsia="仿宋_GB2312" w:cs="仿宋_GB2312"/>
          <w:color w:val="auto"/>
          <w:sz w:val="28"/>
          <w:szCs w:val="28"/>
          <w:highlight w:val="none"/>
        </w:rPr>
        <w:t>应当</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将现金部分通过线上支付的方式扫入</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甲方账户。</w:t>
      </w:r>
    </w:p>
    <w:p>
      <w:pPr>
        <w:spacing w:line="360" w:lineRule="auto"/>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合同签订一周内乙方自行安装监控并共享给甲方，以便甲方对乙方的经营行为进行监督，监控设备需配备内存卡，影像需可回放一周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highlight w:val="none"/>
        </w:rPr>
        <w:t>。</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日常维护管理、安全、消防、门前三包等事项并承担产生的相应费用。</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的装修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的装饰装修工作由乙方负责，乙方应于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交付后15天内完成装饰装修工作，与装饰装修相关的审批、申请、验收等手续由乙方负责，费用由乙方承担。</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sz w:val="28"/>
          <w:szCs w:val="28"/>
          <w:highlight w:val="none"/>
        </w:rPr>
        <w:t>设施改造升级后不可移动的部分应在合作期限结束后无偿地移交给甲方。</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的装修改造工程必须符合相关法律法规，乙方装修改造工程依法需要报建的，乙方还应当自行办理规定的报建手续。</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pPr>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6、因乙方的装修改造行为使甲方陷入与第三方纠纷或者使甲方被第三方索赔，或者使甲方遭受行政处罚的，甲方有权向乙方追偿所遭受的全部损失。</w:t>
      </w:r>
    </w:p>
    <w:p>
      <w:pPr>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场地</w:t>
      </w:r>
      <w:r>
        <w:rPr>
          <w:rFonts w:hint="eastAsia" w:ascii="仿宋_GB2312" w:hAnsi="仿宋_GB2312" w:eastAsia="仿宋_GB2312" w:cs="仿宋_GB2312"/>
          <w:b/>
          <w:bCs/>
          <w:sz w:val="28"/>
          <w:szCs w:val="28"/>
          <w:highlight w:val="none"/>
        </w:rPr>
        <w:t>的维护维修</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后投入的设施设备以及装饰装修由乙方负责维护维修。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六、收益和分成</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sz w:val="28"/>
          <w:szCs w:val="28"/>
          <w:highlight w:val="none"/>
        </w:rPr>
        <w:t>甲方按照销售额（含税）的</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sz w:val="28"/>
          <w:szCs w:val="28"/>
          <w:highlight w:val="none"/>
        </w:rPr>
        <w:t>%收取收益分成。</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销售款项由甲方先行代收，按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季度</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在下一季度</w:t>
      </w:r>
      <w:r>
        <w:rPr>
          <w:rFonts w:hint="eastAsia" w:ascii="仿宋_GB2312" w:hAnsi="仿宋_GB2312" w:eastAsia="仿宋_GB2312" w:cs="仿宋_GB2312"/>
          <w:color w:val="000000" w:themeColor="text1"/>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前</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甲乙双方进行对账并</w:t>
      </w:r>
      <w:r>
        <w:rPr>
          <w:rFonts w:hint="eastAsia" w:ascii="仿宋_GB2312" w:hAnsi="仿宋_GB2312" w:eastAsia="仿宋_GB2312" w:cs="仿宋_GB2312"/>
          <w:color w:val="000000" w:themeColor="text1"/>
          <w:sz w:val="28"/>
          <w:szCs w:val="28"/>
          <w:highlight w:val="none"/>
          <w14:textFill>
            <w14:solidFill>
              <w14:schemeClr w14:val="tx1"/>
            </w14:solidFill>
          </w14:textFill>
        </w:rPr>
        <w:t>形成确认单。</w:t>
      </w:r>
    </w:p>
    <w:p>
      <w:pPr>
        <w:ind w:firstLine="560" w:firstLineChars="200"/>
        <w:rPr>
          <w:rFonts w:hint="default"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在合作期每满</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1年时双方对分成款进行结算，甲方收益分成未达保底价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sz w:val="28"/>
          <w:szCs w:val="28"/>
          <w:highlight w:val="none"/>
        </w:rPr>
        <w:t>4</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甲方付款前，乙方应当向甲方提供足额的收据</w:t>
      </w:r>
      <w:r>
        <w:rPr>
          <w:rFonts w:hint="eastAsia" w:ascii="仿宋_GB2312" w:hAnsi="仿宋_GB2312" w:eastAsia="仿宋_GB2312" w:cs="仿宋_GB2312"/>
          <w:color w:val="000000"/>
          <w:sz w:val="28"/>
          <w:szCs w:val="28"/>
          <w:highlight w:val="none"/>
        </w:rPr>
        <w:t>。</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5、甲方收款账户及开票信息:</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6、乙方收款账户及开票信息：</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开户行账号：</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七、合同终止</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1、本合同到期终止，未到期之前，双方当事人不得随意提前解除合同。</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2、乙方有下列情形之一的，甲方有权解除合同且不承担违约责任：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对场地进行装修、装潢或</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全部或部分予以转让或变相转让、转借他人或调换使用，或交与第三方承包经营、合作经营或联合经营的；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（3）因违法违章行为被相关政府职能部门处以停业整顿、吊销许可证或营业执照等行政处罚的；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（4）未经甲方书面同意，擅自停止营业连续超过7天或一年内累计停止营业超过15天的；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（5）因乙方行为，甲方陷入与第三方纠纷或者使甲方被第三方索赔，或者使甲方遭受行政处罚，或者其他违约行为使甲方遭受人民币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万元以上的重大损失的；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因乙方原因导致本合同解除的，乙方应当赔偿甲方因此遭受的损失。</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3、甲方有下列情形之一的，乙方有权解除合同且不承担违约责任：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达</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highlight w:val="none"/>
          <w14:textFill>
            <w14:solidFill>
              <w14:schemeClr w14:val="tx1"/>
            </w14:solidFill>
          </w14:textFill>
        </w:rPr>
        <w:t>日的；</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因甲方原因导致本合同解除的，甲方应当赔偿乙方遭受的损失。</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4、有下列情形之一的，甲乙双方均有权单方面解除本合同，且互不承担违约责任：</w:t>
      </w:r>
    </w:p>
    <w:p>
      <w:pPr>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城市建设需要被依法动迁或因甲方改造提升需要进行拆迁的；</w:t>
      </w:r>
    </w:p>
    <w:p>
      <w:pPr>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（2）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因社会公共利益的需要被依法征用的；</w:t>
      </w:r>
    </w:p>
    <w:p>
      <w:pPr>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（3）因不可抗力致使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及附属设施毁损、灭失或造成其他损失的；</w:t>
      </w:r>
    </w:p>
    <w:p>
      <w:pPr>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（4）因不可抗力导致本合同无法履行的。</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w:t>
      </w:r>
      <w:r>
        <w:rPr>
          <w:rFonts w:hint="eastAsia" w:ascii="仿宋_GB2312" w:hAnsi="仿宋_GB2312" w:eastAsia="仿宋_GB2312" w:cs="仿宋_GB2312"/>
          <w:sz w:val="28"/>
          <w:szCs w:val="28"/>
          <w:highlight w:val="none"/>
        </w:rPr>
        <w:t>乙方物品以及乙方投入的未形成附合物的设施设备、装修物，乙方应当在上述期限内全部从</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内搬离</w:t>
      </w:r>
      <w:r>
        <w:rPr>
          <w:rFonts w:hint="eastAsia" w:ascii="仿宋_GB2312" w:hAnsi="仿宋_GB2312" w:eastAsia="仿宋_GB2312" w:cs="仿宋_GB2312"/>
          <w:sz w:val="28"/>
          <w:szCs w:val="28"/>
          <w:highlight w:val="none"/>
          <w:lang w:eastAsia="zh-CN"/>
        </w:rPr>
        <w:t>并将场地恢复原状</w:t>
      </w:r>
      <w:r>
        <w:rPr>
          <w:rFonts w:hint="eastAsia" w:ascii="仿宋_GB2312" w:hAnsi="仿宋_GB2312" w:eastAsia="仿宋_GB2312" w:cs="仿宋_GB2312"/>
          <w:sz w:val="28"/>
          <w:szCs w:val="28"/>
          <w:highlight w:val="none"/>
        </w:rPr>
        <w:t>，乙方逾期未搬离的，甲方视为乙方遗弃上述物品和装饰装修物，甲方有权自行处置，所获得的款项归甲方所有。对于形成附合的装饰装修物及其他物品，乙方无偿移交给甲方。</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6、合作期间，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highlight w:val="none"/>
          <w14:textFill>
            <w14:solidFill>
              <w14:schemeClr w14:val="tx1"/>
            </w14:solidFill>
          </w14:textFill>
        </w:rPr>
        <w:t>提前解除或者到期终止的，甲乙双方应在解除前完成全部费用的清算。</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八、违约责任</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第一次</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有权</w:t>
      </w:r>
      <w:r>
        <w:rPr>
          <w:rFonts w:hint="eastAsia" w:ascii="仿宋_GB2312" w:hAnsi="仿宋_GB2312" w:eastAsia="仿宋_GB2312" w:cs="仿宋_GB2312"/>
          <w:sz w:val="28"/>
          <w:szCs w:val="28"/>
          <w:highlight w:val="none"/>
        </w:rPr>
        <w:t>从当月应付乙方款项中扣除5000元作为违约金</w:t>
      </w:r>
      <w:r>
        <w:rPr>
          <w:rFonts w:hint="eastAsia" w:ascii="仿宋_GB2312" w:hAnsi="仿宋_GB2312" w:eastAsia="仿宋_GB2312" w:cs="仿宋_GB2312"/>
          <w:sz w:val="28"/>
          <w:szCs w:val="28"/>
          <w:highlight w:val="none"/>
          <w:lang w:eastAsia="zh-CN"/>
        </w:rPr>
        <w:t>，第二次</w:t>
      </w:r>
      <w:r>
        <w:rPr>
          <w:rFonts w:hint="eastAsia" w:ascii="仿宋_GB2312" w:hAnsi="仿宋_GB2312" w:eastAsia="仿宋_GB2312" w:cs="仿宋_GB2312"/>
          <w:sz w:val="28"/>
          <w:szCs w:val="28"/>
          <w:highlight w:val="none"/>
          <w:lang w:val="en-US" w:eastAsia="zh-CN"/>
        </w:rPr>
        <w:t>甲方有权</w:t>
      </w:r>
      <w:r>
        <w:rPr>
          <w:rFonts w:hint="eastAsia" w:ascii="仿宋_GB2312" w:hAnsi="仿宋_GB2312" w:eastAsia="仿宋_GB2312" w:cs="仿宋_GB2312"/>
          <w:sz w:val="28"/>
          <w:szCs w:val="28"/>
          <w:highlight w:val="none"/>
          <w:lang w:eastAsia="zh-CN"/>
        </w:rPr>
        <w:t>解除合同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不足以弥补甲方损失的，乙方应当继续赔偿甲方损失。</w:t>
      </w:r>
    </w:p>
    <w:p>
      <w:pPr>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清空并将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元/日向甲方支付违约金。</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九、合同生效</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1、本合同自甲、乙双方签字盖章之日生效。</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2、本合同一式</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pPr>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3、本合同的附件与本合同具有同等法律效力。</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十、争议解决</w:t>
      </w:r>
    </w:p>
    <w:p>
      <w:pPr>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所在地有管辖权的人民法院提起诉讼。</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合肥文旅博览集团野生动物园管理有限公司</w:t>
      </w:r>
    </w:p>
    <w:p>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p>
    <w:p>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宋体" w:hAnsi="宋体" w:eastAsia="宋体" w:cs="宋体"/>
          <w:b/>
          <w:color w:val="000000"/>
          <w:sz w:val="24"/>
          <w:szCs w:val="22"/>
        </w:rPr>
        <w:t xml:space="preserve">      </w:t>
      </w: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eastAsia="zh-CN"/>
        </w:rPr>
        <w:t>合肥文旅博览集团野生动物园管理有限公司</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乙方（盖章）：</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授权代表：   (职务)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授权代表：  （职务）</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廉政监督联系人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廉政监督联系人</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地址：         </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 xml:space="preserve">日期：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日期：</w:t>
      </w:r>
    </w:p>
    <w:p>
      <w:pPr>
        <w:rPr>
          <w:lang w:val="en-US" w:eastAsia="zh-CN"/>
        </w:rPr>
      </w:pPr>
    </w:p>
    <w:p>
      <w:r>
        <w:rPr>
          <w:rFonts w:hint="eastAsia" w:ascii="宋体" w:hAnsi="宋体" w:eastAsia="宋体" w:cs="宋体"/>
          <w:b/>
          <w:color w:val="000000"/>
          <w:sz w:val="24"/>
          <w:szCs w:val="22"/>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5B654F3"/>
    <w:multiLevelType w:val="multilevel"/>
    <w:tmpl w:val="25B654F3"/>
    <w:lvl w:ilvl="0" w:tentative="0">
      <w:start w:val="2"/>
      <w:numFmt w:val="decimal"/>
      <w:lvlText w:val="%1."/>
      <w:lvlJc w:val="left"/>
      <w:pPr>
        <w:ind w:left="320" w:hanging="213"/>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abstractNum w:abstractNumId="2">
    <w:nsid w:val="32F9C572"/>
    <w:multiLevelType w:val="singleLevel"/>
    <w:tmpl w:val="32F9C572"/>
    <w:lvl w:ilvl="0" w:tentative="0">
      <w:start w:val="1"/>
      <w:numFmt w:val="decimal"/>
      <w:lvlText w:val="%1."/>
      <w:lvlJc w:val="left"/>
      <w:pPr>
        <w:tabs>
          <w:tab w:val="left" w:pos="312"/>
        </w:tabs>
      </w:pPr>
      <w:rPr>
        <w:rFonts w:hint="default"/>
      </w:rPr>
    </w:lvl>
  </w:abstractNum>
  <w:abstractNum w:abstractNumId="3">
    <w:nsid w:val="72183CF9"/>
    <w:multiLevelType w:val="multilevel"/>
    <w:tmpl w:val="72183CF9"/>
    <w:lvl w:ilvl="0" w:tentative="0">
      <w:start w:val="1"/>
      <w:numFmt w:val="decimal"/>
      <w:lvlText w:val="%1."/>
      <w:lvlJc w:val="left"/>
      <w:pPr>
        <w:ind w:left="320" w:hanging="213"/>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WU4YmI5YzFjYTNhNTE1MzI5YWVlMjVlNGRmNWUifQ=="/>
  </w:docVars>
  <w:rsids>
    <w:rsidRoot w:val="00000000"/>
    <w:rsid w:val="009849F8"/>
    <w:rsid w:val="027C5214"/>
    <w:rsid w:val="0315133D"/>
    <w:rsid w:val="035030A5"/>
    <w:rsid w:val="04997101"/>
    <w:rsid w:val="06DB6071"/>
    <w:rsid w:val="083428AD"/>
    <w:rsid w:val="0A750537"/>
    <w:rsid w:val="0B4649E7"/>
    <w:rsid w:val="0C930B8F"/>
    <w:rsid w:val="0D635E60"/>
    <w:rsid w:val="0EB82ED1"/>
    <w:rsid w:val="0F237968"/>
    <w:rsid w:val="0FA71709"/>
    <w:rsid w:val="102312E4"/>
    <w:rsid w:val="13F064AD"/>
    <w:rsid w:val="14FF72E1"/>
    <w:rsid w:val="1514265D"/>
    <w:rsid w:val="15FE10C6"/>
    <w:rsid w:val="189C0396"/>
    <w:rsid w:val="1C073026"/>
    <w:rsid w:val="1E6F2F18"/>
    <w:rsid w:val="1F0E1F29"/>
    <w:rsid w:val="1FF564A9"/>
    <w:rsid w:val="20136239"/>
    <w:rsid w:val="208E370D"/>
    <w:rsid w:val="20ED45CB"/>
    <w:rsid w:val="224E60BA"/>
    <w:rsid w:val="230068A8"/>
    <w:rsid w:val="238536AF"/>
    <w:rsid w:val="252F071E"/>
    <w:rsid w:val="25682EE2"/>
    <w:rsid w:val="27330689"/>
    <w:rsid w:val="29A3484E"/>
    <w:rsid w:val="2A4A4371"/>
    <w:rsid w:val="2ABB57FC"/>
    <w:rsid w:val="2BB91467"/>
    <w:rsid w:val="2C82183B"/>
    <w:rsid w:val="2CA05B15"/>
    <w:rsid w:val="2CD6557D"/>
    <w:rsid w:val="2E056C54"/>
    <w:rsid w:val="300F6807"/>
    <w:rsid w:val="32561A45"/>
    <w:rsid w:val="33924F49"/>
    <w:rsid w:val="33CA4E95"/>
    <w:rsid w:val="34197818"/>
    <w:rsid w:val="349657A4"/>
    <w:rsid w:val="35D1321C"/>
    <w:rsid w:val="37254452"/>
    <w:rsid w:val="37E76AF7"/>
    <w:rsid w:val="38B926B6"/>
    <w:rsid w:val="390B3D36"/>
    <w:rsid w:val="3B295396"/>
    <w:rsid w:val="3BED2CDC"/>
    <w:rsid w:val="3CAC556A"/>
    <w:rsid w:val="3CF66A47"/>
    <w:rsid w:val="3D0D7F51"/>
    <w:rsid w:val="3D6860E7"/>
    <w:rsid w:val="3E2227EC"/>
    <w:rsid w:val="3E407B9F"/>
    <w:rsid w:val="3F843E78"/>
    <w:rsid w:val="3F9A1925"/>
    <w:rsid w:val="40200C00"/>
    <w:rsid w:val="40BA4721"/>
    <w:rsid w:val="416F3848"/>
    <w:rsid w:val="427C0435"/>
    <w:rsid w:val="42C048BC"/>
    <w:rsid w:val="47861AD6"/>
    <w:rsid w:val="47F33595"/>
    <w:rsid w:val="47FB2A80"/>
    <w:rsid w:val="48CA54DD"/>
    <w:rsid w:val="4937493A"/>
    <w:rsid w:val="496872A4"/>
    <w:rsid w:val="4C1E067F"/>
    <w:rsid w:val="4D264FFB"/>
    <w:rsid w:val="4DDB7B53"/>
    <w:rsid w:val="4EB12D66"/>
    <w:rsid w:val="50C25219"/>
    <w:rsid w:val="519552D3"/>
    <w:rsid w:val="546F1BB8"/>
    <w:rsid w:val="579628A5"/>
    <w:rsid w:val="57DD7F59"/>
    <w:rsid w:val="57EE5CE5"/>
    <w:rsid w:val="591D097C"/>
    <w:rsid w:val="5A62012A"/>
    <w:rsid w:val="5B275F24"/>
    <w:rsid w:val="5BCA0B42"/>
    <w:rsid w:val="5CE22B3A"/>
    <w:rsid w:val="5D030A82"/>
    <w:rsid w:val="5D875EC6"/>
    <w:rsid w:val="5DE34AE4"/>
    <w:rsid w:val="5E544916"/>
    <w:rsid w:val="5F1C6C86"/>
    <w:rsid w:val="5F5A548A"/>
    <w:rsid w:val="61694E75"/>
    <w:rsid w:val="6272043A"/>
    <w:rsid w:val="62886BDA"/>
    <w:rsid w:val="646005E1"/>
    <w:rsid w:val="64CD40C0"/>
    <w:rsid w:val="66E637B1"/>
    <w:rsid w:val="66E844C3"/>
    <w:rsid w:val="674D11F9"/>
    <w:rsid w:val="67572E65"/>
    <w:rsid w:val="67F63C52"/>
    <w:rsid w:val="68844A0C"/>
    <w:rsid w:val="6AA70638"/>
    <w:rsid w:val="6E20084F"/>
    <w:rsid w:val="6E844CEE"/>
    <w:rsid w:val="6EE07090"/>
    <w:rsid w:val="73337712"/>
    <w:rsid w:val="738E0A83"/>
    <w:rsid w:val="75492DE4"/>
    <w:rsid w:val="75906E63"/>
    <w:rsid w:val="75C30785"/>
    <w:rsid w:val="75F03F2F"/>
    <w:rsid w:val="777E501B"/>
    <w:rsid w:val="77B50869"/>
    <w:rsid w:val="7921667C"/>
    <w:rsid w:val="7DCD6175"/>
    <w:rsid w:val="7F162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43"/>
      <w:szCs w:val="43"/>
      <w:lang w:val="en-US" w:eastAsia="en-US" w:bidi="ar-SA"/>
    </w:rPr>
  </w:style>
  <w:style w:type="paragraph" w:styleId="4">
    <w:name w:val="Body Text Indent"/>
    <w:basedOn w:val="1"/>
    <w:next w:val="5"/>
    <w:qFormat/>
    <w:uiPriority w:val="0"/>
    <w:pPr>
      <w:ind w:firstLine="645"/>
    </w:pPr>
    <w:rPr>
      <w:rFonts w:ascii="楷体_GB2312" w:hAnsi="Times New Roman"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99"/>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4"/>
    <w:next w:val="1"/>
    <w:unhideWhenUsed/>
    <w:qFormat/>
    <w:uiPriority w:val="99"/>
    <w:pPr>
      <w:spacing w:after="120"/>
      <w:ind w:left="420" w:leftChars="200" w:firstLine="420" w:firstLineChars="200"/>
    </w:pPr>
    <w:rPr>
      <w:rFonts w:ascii="Times New Roman" w:eastAsia="宋体"/>
      <w:sz w:val="21"/>
      <w:szCs w:val="22"/>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4100</Words>
  <Characters>4301</Characters>
  <Lines>0</Lines>
  <Paragraphs>0</Paragraphs>
  <TotalTime>1</TotalTime>
  <ScaleCrop>false</ScaleCrop>
  <LinksUpToDate>false</LinksUpToDate>
  <CharactersWithSpaces>4525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2024-10-22T07:33:37Z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A1DF9E3591E848C8AD3E274B91BA59C6</vt:lpwstr>
  </property>
</Properties>
</file>